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074FD">
      <w:pPr>
        <w:spacing w:after="0" w:line="240" w:lineRule="auto"/>
        <w:ind w:right="-567"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Cs w:val="24"/>
          <w:lang w:val="en-US"/>
        </w:rPr>
        <w:t xml:space="preserve">008-01/23-01/8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3AD50113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Cs w:val="24"/>
          <w:lang w:eastAsia="en-US"/>
        </w:rPr>
        <w:t xml:space="preserve">2182-9-2-23-1</w:t>
      </w:r>
      <w:r>
        <w:rPr>
          <w:rFonts w:ascii="Times New Roman" w:hAnsi="Times New Roman" w:eastAsiaTheme="minorHAnsi" w:cs="Times New Roman"/>
          <w:szCs w:val="24"/>
          <w:lang w:eastAsia="en-US"/>
        </w:rPr>
        <w:t xml:space="preserve">                                              </w:t>
      </w:r>
    </w:p>
    <w:p w14:paraId="189716B6">
      <w:pPr>
        <w:spacing/>
        <w:rPr>
          <w:rFonts w:ascii="Times New Roman" w:hAnsi="Times New Roman" w:eastAsiaTheme="minorHAnsi" w:cs="Times New Roman"/>
          <w:szCs w:val="24"/>
          <w:lang w:eastAsia="en-US"/>
        </w:rPr>
      </w:pPr>
      <w:r>
        <w:rPr>
          <w:rFonts w:ascii="Times New Roman" w:hAnsi="Times New Roman" w:eastAsiaTheme="minorHAnsi" w:cs="Times New Roman"/>
          <w:lang w:eastAsia="en-US"/>
        </w:rPr>
        <w:t xml:space="preserve"> </w:t>
      </w:r>
      <w:r>
        <w:rPr/>
        <w:drawing>
          <wp:inline>
            <wp:extent cx="933580" cy="933580"/>
            <wp:docPr id="1" name="Picture 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lang w:eastAsia="en-US"/>
        </w:rPr>
        <w:t xml:space="preserve">  </w:t>
      </w:r>
    </w:p>
    <w:p w14:paraId="2B011209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31DA0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Oklaj, 1</w:t>
      </w:r>
      <w:r>
        <w:rPr>
          <w:rFonts w:ascii="Times New Roman" w:hAnsi="Times New Roman" w:cs="Times New Roman"/>
        </w:rPr>
        <w:t xml:space="preserve">8</w:t>
      </w:r>
      <w:r>
        <w:rPr>
          <w:rFonts w:ascii="Times New Roman" w:hAnsi="Times New Roman" w:cs="Times New Roman"/>
        </w:rPr>
        <w:t xml:space="preserve">. prosinca 202</w:t>
      </w:r>
      <w:r>
        <w:rPr>
          <w:rFonts w:ascii="Times New Roman" w:hAnsi="Times New Roman" w:cs="Times New Roman"/>
        </w:rPr>
        <w:t xml:space="preserve">3</w:t>
      </w:r>
      <w:r>
        <w:rPr>
          <w:rFonts w:ascii="Times New Roman" w:hAnsi="Times New Roman" w:cs="Times New Roman"/>
        </w:rPr>
        <w:t xml:space="preserve">. godine</w:t>
      </w:r>
    </w:p>
    <w:p w14:paraId="02943EE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C3DA02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Zakona o pravu na pristup informacijama (NN 25/13 i 85/15) i Odluke o imenovanju službenika za informiranje od 18. siječnja 2021. godine, službenica za informiranje društva EKO Promina d.o.o. donosi sljedeći</w:t>
      </w:r>
    </w:p>
    <w:p w14:paraId="33368EAE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F0C79C0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GODIŠNJI PLAN RADA </w:t>
      </w:r>
      <w:r>
        <w:rPr>
          <w:rFonts w:ascii="Times New Roman" w:hAnsi="Times New Roman" w:cs="Times New Roman"/>
          <w:b/>
          <w:bCs/>
        </w:rPr>
        <w:t xml:space="preserve">SLUŽBENIKA ZA INFORMIRANJE</w:t>
      </w:r>
      <w:r>
        <w:rPr>
          <w:rFonts w:ascii="Times New Roman" w:hAnsi="Times New Roman" w:cs="Times New Roman"/>
          <w:b/>
          <w:bCs/>
        </w:rPr>
        <w:t xml:space="preserve"> ZA 2</w:t>
      </w:r>
      <w:r>
        <w:rPr>
          <w:rFonts w:ascii="Times New Roman" w:hAnsi="Times New Roman" w:cs="Times New Roman"/>
          <w:b/>
          <w:bCs/>
        </w:rPr>
        <w:t xml:space="preserve">0</w:t>
      </w:r>
      <w:r>
        <w:rPr>
          <w:rFonts w:ascii="Times New Roman" w:hAnsi="Times New Roman" w:cs="Times New Roman"/>
          <w:b/>
          <w:bCs/>
        </w:rPr>
        <w:t xml:space="preserve">2</w:t>
      </w:r>
      <w:r>
        <w:rPr>
          <w:rFonts w:ascii="Times New Roman" w:hAnsi="Times New Roman" w:cs="Times New Roman"/>
          <w:b/>
          <w:bCs/>
        </w:rPr>
        <w:t xml:space="preserve">4</w:t>
      </w:r>
      <w:r>
        <w:rPr>
          <w:rFonts w:ascii="Times New Roman" w:hAnsi="Times New Roman" w:cs="Times New Roman"/>
          <w:b/>
          <w:bCs/>
        </w:rPr>
        <w:t xml:space="preserve">. GODINU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3573"/>
        <w:gridCol w:w="3117"/>
      </w:tblGrid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Redni broj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Planirane aktivnosti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Rok izvršenja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Zaprimanje i arhiviranje zahtjeva temeljem Zakona o pravu na pristup informacijama 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Odgovaranje na zahtjeve i arhiviranje odgovora na zahtjeve temeljem Zakona o pravu na pristup informacijama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Ažuriranje službenog upisnika o zahtjevima, postupcima i odlukama o ostvarivanju prava na pristup informacijama i ponovnu uporabu informacija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Suradnja s osobom zaduženom za ažuriranje i objavljivanje informacija na internetskoj stranici društva EKO Promina d.o.o.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Suradnja s Upravom društva i sa Skupštinom društva, a vezano za poboljšanje transparentnosti u poslovanju društva EKO Promina d.o.o.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Praćenje propisa iz područja informiranja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Praćenje internetske stranice Povjerenika za informiranje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Kontinuirano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Izrada godišnjeg plana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službenika za informiranje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godinu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31. prosinca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godine</w:t>
            </w:r>
          </w:p>
        </w:tc>
      </w:tr>
      <w:tr>
        <w:trPr/>
        <w:tc>
          <w:tcPr>
            <w:tcW w:type="dxa" w:w="2660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</w:t>
            </w:r>
          </w:p>
        </w:tc>
        <w:tc>
          <w:tcPr>
            <w:tcW w:type="dxa" w:w="3573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Podnošenje Izvješća o provedbi Zakona o pravu na pristup informacijama u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godini Povjereniku za informiranje </w:t>
            </w:r>
          </w:p>
        </w:tc>
        <w:tc>
          <w:tcPr>
            <w:tcW w:type="dxa" w:w="3117"/>
            <w:tcBorders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 31. siječnja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godine</w:t>
            </w:r>
          </w:p>
        </w:tc>
      </w:tr>
    </w:tbl>
    <w:p w14:paraId="146E0670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BF9BF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Dostaviti:</w:t>
      </w:r>
    </w:p>
    <w:p w14:paraId="1737F9F2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Oglasna ploča društva EKO Promina d.o.o.</w:t>
      </w:r>
    </w:p>
    <w:p w14:paraId="597C7694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Internetska stranica društva EKO Promina d.o.o.</w:t>
      </w:r>
    </w:p>
    <w:p w14:paraId="16DDF86A">
      <w:pPr>
        <w:pStyle w:val="Odlomakpopisa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Pismohrana društva EKO Promina d.o.o.</w:t>
      </w:r>
    </w:p>
    <w:p w14:paraId="1140152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Službenica za informiranje</w:t>
      </w:r>
      <w:r>
        <w:rPr>
          <w:rFonts w:ascii="Times New Roman" w:hAnsi="Times New Roman" w:cs="Times New Roman"/>
          <w:sz w:val="24"/>
          <w:szCs w:val="24"/>
        </w:rPr>
        <w:t xml:space="preserve">:</w:t>
      </w:r>
    </w:p>
    <w:p w14:paraId="627772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sc. Barbara Nakić-Alfirević, dipl. ing.</w:t>
      </w:r>
    </w:p>
    <w:p w14:paraId="479878B0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</w:rPr>
      </w:pPr>
    </w:p>
    <w:sectPr>
      <w:headerReference w:type="first" r:id="rId2"/>
      <w:footerReference w:type="first" r:id="rId3"/>
      <w:footerReference w:type="default" r:id="rId4"/>
      <w:type w:val="nextPage"/>
      <w:pgSz w:w="11906" w:h="16838"/>
      <w:pgMar w:top="340" w:right="1134" w:bottom="340" w:left="1134" w:header="284" w:footer="0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200247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0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854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Candara" w:hAnsi="Candara"/>
        <w:sz w:val="12"/>
        <w:szCs w:val="12"/>
      </w:rPr>
    </w:pPr>
    <w:r>
      <w:rPr>
        <w:rFonts w:ascii="Candara" w:hAnsi="Candara"/>
        <w:sz w:val="12"/>
        <w:szCs w:val="12"/>
      </w:rPr>
      <w:t xml:space="preserve">EKO Promina d.o.o. </w:t>
    </w:r>
    <w:r>
      <w:rPr>
        <w:rFonts w:ascii="Candara" w:hAnsi="Candara"/>
        <w:sz w:val="12"/>
        <w:szCs w:val="12"/>
      </w:rPr>
      <w:t xml:space="preserve">društvo s ograničenom odgovornošću za obavljanje komunalnih djelatnosti</w:t>
    </w:r>
    <w:r>
      <w:rPr>
        <w:rFonts w:ascii="Candara" w:hAnsi="Candara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Candara" w:hAnsi="Candara"/>
        <w:sz w:val="12"/>
        <w:szCs w:val="12"/>
      </w:rPr>
    </w:pPr>
    <w:r>
      <w:rPr>
        <w:rFonts w:ascii="Candara" w:hAnsi="Candara"/>
        <w:sz w:val="12"/>
        <w:szCs w:val="12"/>
      </w:rPr>
      <w:t xml:space="preserve">Žiro račun otvoren</w:t>
    </w:r>
    <w:r>
      <w:rPr>
        <w:rFonts w:ascii="Candara" w:hAnsi="Candara"/>
        <w:sz w:val="12"/>
        <w:szCs w:val="12"/>
      </w:rPr>
      <w:t xml:space="preserve"> u</w:t>
    </w:r>
    <w:r>
      <w:rPr>
        <w:rFonts w:ascii="Candara" w:hAnsi="Candara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Candara" w:hAnsi="Candara"/>
        <w:sz w:val="12"/>
        <w:szCs w:val="12"/>
      </w:rPr>
    </w:pPr>
    <w:r>
      <w:rPr>
        <w:rFonts w:ascii="Candara" w:hAnsi="Candara"/>
        <w:sz w:val="12"/>
        <w:szCs w:val="12"/>
      </w:rPr>
      <w:t xml:space="preserve">Hrvatska poštanska banka d.d. Račun (IBAN) HR</w:t>
    </w:r>
    <w:r>
      <w:rPr>
        <w:rFonts w:ascii="Candara" w:hAnsi="Candara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Candara" w:hAnsi="Candara"/>
        <w:sz w:val="12"/>
        <w:szCs w:val="12"/>
      </w:rPr>
    </w:pPr>
    <w:r>
      <w:rPr>
        <w:rFonts w:ascii="Candara" w:hAnsi="Candara"/>
        <w:sz w:val="12"/>
        <w:szCs w:val="12"/>
      </w:rPr>
      <w:t xml:space="preserve">Društvo je upisano u sudski registar </w:t>
    </w:r>
    <w:r>
      <w:rPr>
        <w:rFonts w:ascii="Candara" w:hAnsi="Candara"/>
        <w:sz w:val="12"/>
        <w:szCs w:val="12"/>
      </w:rPr>
      <w:t xml:space="preserve">Trgovačkog suda u Zadru</w:t>
    </w:r>
    <w:r>
      <w:rPr>
        <w:rFonts w:ascii="Candara" w:hAnsi="Candara"/>
        <w:sz w:val="12"/>
        <w:szCs w:val="12"/>
      </w:rPr>
      <w:t xml:space="preserve">, Stalne službe u Šibeniku</w:t>
    </w:r>
    <w:r>
      <w:rPr>
        <w:rFonts w:ascii="Candara" w:hAnsi="Candara"/>
        <w:sz w:val="12"/>
        <w:szCs w:val="12"/>
      </w:rPr>
      <w:t xml:space="preserve">, MBS 100016114</w:t>
    </w:r>
  </w:p>
  <w:p w14:paraId="4F83DDB9">
    <w:pPr>
      <w:pStyle w:val="Podnoje"/>
      <w:spacing/>
      <w:jc w:val="center"/>
      <w:rPr>
        <w:rFonts w:ascii="Candara" w:hAnsi="Candara"/>
        <w:sz w:val="12"/>
        <w:szCs w:val="12"/>
      </w:rPr>
    </w:pPr>
    <w:r>
      <w:rPr>
        <w:rFonts w:ascii="Candara" w:hAnsi="Candara"/>
        <w:sz w:val="12"/>
        <w:szCs w:val="12"/>
      </w:rPr>
      <w:t xml:space="preserve">Temeljni kapital </w:t>
    </w:r>
    <w:r>
      <w:rPr>
        <w:rFonts w:ascii="Candara" w:hAnsi="Candara"/>
        <w:sz w:val="12"/>
        <w:szCs w:val="12"/>
      </w:rPr>
      <w:t xml:space="preserve">u iznosu od 20.000,00 k</w:t>
    </w:r>
    <w:r>
      <w:rPr>
        <w:rFonts w:ascii="Candara" w:hAnsi="Candara"/>
        <w:sz w:val="12"/>
        <w:szCs w:val="12"/>
      </w:rPr>
      <w:t xml:space="preserve">n uplaćen je u cijelosti.</w:t>
    </w:r>
  </w:p>
  <w:p w14:paraId="0AFFD36E">
    <w:pPr>
      <w:pStyle w:val="Podnoje"/>
      <w:spacing/>
      <w:jc w:val="center"/>
      <w:rPr>
        <w:rFonts w:ascii="Candara" w:hAnsi="Candara"/>
        <w:sz w:val="12"/>
        <w:szCs w:val="12"/>
      </w:rPr>
    </w:pPr>
    <w:r>
      <w:rPr>
        <w:rFonts w:ascii="Candara" w:hAnsi="Candara"/>
        <w:sz w:val="12"/>
        <w:szCs w:val="12"/>
      </w:rPr>
      <w:t xml:space="preserve">U</w:t>
    </w:r>
    <w:r>
      <w:rPr>
        <w:rFonts w:ascii="Candara" w:hAnsi="Candara"/>
        <w:sz w:val="12"/>
        <w:szCs w:val="12"/>
      </w:rPr>
      <w:t xml:space="preserve">prav</w:t>
    </w:r>
    <w:r>
      <w:rPr>
        <w:rFonts w:ascii="Candara" w:hAnsi="Candara"/>
        <w:sz w:val="12"/>
        <w:szCs w:val="12"/>
      </w:rPr>
      <w:t xml:space="preserve">a društva</w:t>
    </w:r>
    <w:r>
      <w:rPr>
        <w:rFonts w:ascii="Candara" w:hAnsi="Candara"/>
        <w:sz w:val="12"/>
        <w:szCs w:val="12"/>
      </w:rPr>
      <w:t xml:space="preserve">-Direkt</w:t>
    </w:r>
    <w:r>
      <w:rPr>
        <w:rFonts w:ascii="Candara" w:hAnsi="Candara"/>
        <w:sz w:val="12"/>
        <w:szCs w:val="12"/>
      </w:rPr>
      <w:t xml:space="preserve">oric</w:t>
    </w:r>
    <w:r>
      <w:rPr>
        <w:rFonts w:ascii="Candara" w:hAnsi="Candara"/>
        <w:sz w:val="12"/>
        <w:szCs w:val="12"/>
      </w:rPr>
      <w:t xml:space="preserve">a</w:t>
    </w:r>
    <w:r>
      <w:rPr>
        <w:rFonts w:ascii="Candara" w:hAnsi="Candara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Candara" w:hAnsi="Candara"/>
        <w:sz w:val="8"/>
        <w:szCs w:val="8"/>
      </w:rPr>
    </w:pPr>
    <w:r>
      <w:rPr>
        <w:rFonts w:ascii="Candara" w:hAnsi="Candara"/>
        <w:noProof/>
        <w:sz w:val="8"/>
        <w:szCs w:val="8"/>
      </w:rPr>
      <w:drawing>
        <wp:inline>
          <wp:extent cx="4019550" cy="180975"/>
          <wp:effectExtent xmlns:wp="http://schemas.openxmlformats.org/drawingml/2006/wordprocessingDrawing" l="0" t="0" r="0" b="0"/>
          <wp:docPr id="2" name="Picture 1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sz w:val="18"/>
        <w:szCs w:val="18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sz w:val="18"/>
        <w:szCs w:val="18"/>
      </w:rPr>
      <w:t xml:space="preserve">Think Before Printing - Please consider the environment before printing</w:t>
    </w:r>
    <w:r>
      <w:rPr/>
      <w:fldChar w:fldCharType="end"/>
    </w:r>
  </w:p>
  <w:p w14:paraId="124C7E42">
    <w:pPr>
      <w:pStyle w:val="Podnoje"/>
      <w:spacing/>
      <w:jc w:val="center"/>
      <w:rPr>
        <w:rFonts w:ascii="Candara" w:hAnsi="Candara"/>
        <w:sz w:val="8"/>
        <w:szCs w:val="8"/>
      </w:rPr>
    </w:pPr>
    <w:r>
      <w:rPr>
        <w:rFonts w:ascii="Candara" w:hAnsi="Candara"/>
        <w:noProof/>
        <w:sz w:val="8"/>
        <w:szCs w:val="8"/>
      </w:rPr>
      <w:drawing>
        <wp:inline>
          <wp:extent cx="881449" cy="304800"/>
          <wp:effectExtent xmlns:wp="http://schemas.openxmlformats.org/drawingml/2006/wordprocessingDrawing" l="0" t="0" r="0" b="0"/>
          <wp:docPr id="3" name="Picture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A5E608">
    <w:pPr>
      <w:spacing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SVAKI CENT SE BROJI, SVAKA KUNA SE RAČUNA</w:t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4" name="Slika 19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7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9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579E13C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6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7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1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2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3">
    <w:nsid w:val="7D0A3BA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80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."/>
  <w:listSeparator xmlns:w="http://schemas.openxmlformats.org/wordprocessingml/2006/main"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4" Type="http://schemas.openxmlformats.org/officeDocument/2006/relationships/footer" Target="footer4.xml" /><Relationship Id="rId12" Type="http://schemas.openxmlformats.org/officeDocument/2006/relationships/fontTable" Target="fontTable.xml" /><Relationship Id="rId1" Type="http://schemas.openxmlformats.org/officeDocument/2006/relationships/image" Target="media/image4.png" /><Relationship Id="rId13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5" Type="http://schemas.openxmlformats.org/officeDocument/2006/relationships/image" Target="media/image2.gif" /><Relationship Id="rId6" Type="http://schemas.openxmlformats.org/officeDocument/2006/relationships/image" Target="media/image3.jpeg" /></Relationships>
</file>

<file path=word/_rels/header2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2</TotalTime>
  <Pages>2</Pages>
  <Words>308</Words>
  <Characters>1757</Characters>
  <Application>Microsoft Office Word</Application>
  <DocSecurity>0</DocSecurity>
  <Lines>14</Lines>
  <Paragraphs>4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2022-09-27T08:24:00Z</cp:lastPrinted>
  <cp:revision>7</cp:revision>
  <dcterms:created xsi:type="dcterms:W3CDTF">2023-12-17T16:34:00Z</dcterms:created>
  <dcterms:modified xsi:type="dcterms:W3CDTF">2023-12-17T16:37:00Z</dcterms:modified>
</cp:coreProperties>
</file>