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82ED" w14:textId="54EA7424" w:rsidR="00BA3BD3" w:rsidRPr="007E6751" w:rsidRDefault="00BA3BD3">
      <w:pPr>
        <w:rPr>
          <w:rFonts w:ascii="Times New Roman" w:hAnsi="Times New Roman" w:cs="Times New Roman"/>
          <w:sz w:val="24"/>
          <w:szCs w:val="24"/>
          <w:lang w:val="hr-HR"/>
        </w:rPr>
      </w:pPr>
      <w:r w:rsidRPr="007E6751">
        <w:rPr>
          <w:rFonts w:ascii="Times New Roman" w:hAnsi="Times New Roman" w:cs="Times New Roman"/>
          <w:sz w:val="24"/>
          <w:szCs w:val="24"/>
          <w:lang w:val="hr-HR"/>
        </w:rPr>
        <w:t>URBROJ:</w:t>
      </w:r>
      <w:r w:rsidR="007E6751" w:rsidRPr="007E6751">
        <w:rPr>
          <w:rFonts w:ascii="Times New Roman" w:hAnsi="Times New Roman" w:cs="Times New Roman"/>
          <w:sz w:val="24"/>
          <w:szCs w:val="24"/>
          <w:lang w:val="hr-HR"/>
        </w:rPr>
        <w:t xml:space="preserve"> 347/2022</w:t>
      </w:r>
    </w:p>
    <w:p w14:paraId="1E7835D9" w14:textId="032780D4" w:rsidR="00BA3BD3" w:rsidRDefault="00BA3BD3">
      <w:pPr>
        <w:rPr>
          <w:rFonts w:ascii="Times New Roman" w:hAnsi="Times New Roman" w:cs="Times New Roman"/>
          <w:sz w:val="24"/>
          <w:szCs w:val="24"/>
          <w:lang w:val="hr-HR"/>
        </w:rPr>
      </w:pPr>
      <w:r w:rsidRPr="007E6751">
        <w:rPr>
          <w:rFonts w:ascii="Times New Roman" w:hAnsi="Times New Roman" w:cs="Times New Roman"/>
          <w:sz w:val="24"/>
          <w:szCs w:val="24"/>
          <w:lang w:val="hr-HR"/>
        </w:rPr>
        <w:t xml:space="preserve">Oklaj, </w:t>
      </w:r>
      <w:r w:rsidR="00620C6A">
        <w:rPr>
          <w:rFonts w:ascii="Times New Roman" w:hAnsi="Times New Roman" w:cs="Times New Roman"/>
          <w:sz w:val="24"/>
          <w:szCs w:val="24"/>
          <w:lang w:val="hr-HR"/>
        </w:rPr>
        <w:t>19</w:t>
      </w:r>
      <w:r w:rsidRPr="007E6751">
        <w:rPr>
          <w:rFonts w:ascii="Times New Roman" w:hAnsi="Times New Roman" w:cs="Times New Roman"/>
          <w:sz w:val="24"/>
          <w:szCs w:val="24"/>
          <w:lang w:val="hr-HR"/>
        </w:rPr>
        <w:t>. travnja 2022. godine</w:t>
      </w:r>
    </w:p>
    <w:p w14:paraId="16FB325B" w14:textId="77777777" w:rsidR="0074540E" w:rsidRDefault="0074540E">
      <w:pPr>
        <w:rPr>
          <w:rFonts w:ascii="Times New Roman" w:hAnsi="Times New Roman" w:cs="Times New Roman"/>
          <w:sz w:val="24"/>
          <w:szCs w:val="24"/>
          <w:lang w:val="hr-HR"/>
        </w:rPr>
      </w:pPr>
    </w:p>
    <w:p w14:paraId="52B9AA53" w14:textId="5BC7FB2B" w:rsidR="00BA3BD3" w:rsidRDefault="003F4C7F" w:rsidP="00E85876">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 temelju </w:t>
      </w:r>
      <w:r w:rsidR="00E85876">
        <w:rPr>
          <w:rFonts w:ascii="Times New Roman" w:hAnsi="Times New Roman" w:cs="Times New Roman"/>
          <w:sz w:val="24"/>
          <w:szCs w:val="24"/>
          <w:lang w:val="hr-HR"/>
        </w:rPr>
        <w:t xml:space="preserve">članka 77. stavka </w:t>
      </w:r>
      <w:r w:rsidR="007E6751">
        <w:rPr>
          <w:rFonts w:ascii="Times New Roman" w:hAnsi="Times New Roman" w:cs="Times New Roman"/>
          <w:sz w:val="24"/>
          <w:szCs w:val="24"/>
          <w:lang w:val="hr-HR"/>
        </w:rPr>
        <w:t>1</w:t>
      </w:r>
      <w:r w:rsidR="00E85876">
        <w:rPr>
          <w:rFonts w:ascii="Times New Roman" w:hAnsi="Times New Roman" w:cs="Times New Roman"/>
          <w:sz w:val="24"/>
          <w:szCs w:val="24"/>
          <w:lang w:val="hr-HR"/>
        </w:rPr>
        <w:t>. Zakona o gospodarenju otpadom (NN broj 84/21)</w:t>
      </w:r>
      <w:r w:rsidR="00214AF9">
        <w:rPr>
          <w:rFonts w:ascii="Times New Roman" w:hAnsi="Times New Roman" w:cs="Times New Roman"/>
          <w:sz w:val="24"/>
          <w:szCs w:val="24"/>
          <w:lang w:val="hr-HR"/>
        </w:rPr>
        <w:t xml:space="preserve"> </w:t>
      </w:r>
      <w:r w:rsidR="007E6751">
        <w:rPr>
          <w:rFonts w:ascii="Times New Roman" w:hAnsi="Times New Roman" w:cs="Times New Roman"/>
          <w:sz w:val="24"/>
          <w:szCs w:val="24"/>
          <w:lang w:val="hr-HR"/>
        </w:rPr>
        <w:t xml:space="preserve">i članka 22. Odluke o načinu pružanja javne usluge sakupljanja komunalnog otpada na području Općine Promina i članka </w:t>
      </w:r>
      <w:r w:rsidR="00360EFC">
        <w:rPr>
          <w:rFonts w:ascii="Times New Roman" w:hAnsi="Times New Roman" w:cs="Times New Roman"/>
          <w:sz w:val="24"/>
          <w:szCs w:val="24"/>
          <w:lang w:val="hr-HR"/>
        </w:rPr>
        <w:t xml:space="preserve">13. Izjave o osnivanju društva s ograničenom odgovornošću EKO Promina d.o.o. za obavljanje komunalnih djelatnosti (Pročišćeni tekst) od 7. svibnja 2020. godine </w:t>
      </w:r>
      <w:r w:rsidR="00214AF9">
        <w:rPr>
          <w:rFonts w:ascii="Times New Roman" w:hAnsi="Times New Roman" w:cs="Times New Roman"/>
          <w:sz w:val="24"/>
          <w:szCs w:val="24"/>
          <w:lang w:val="hr-HR"/>
        </w:rPr>
        <w:t>dana 19</w:t>
      </w:r>
      <w:r w:rsidR="00173212">
        <w:rPr>
          <w:rFonts w:ascii="Times New Roman" w:hAnsi="Times New Roman" w:cs="Times New Roman"/>
          <w:sz w:val="24"/>
          <w:szCs w:val="24"/>
          <w:lang w:val="hr-HR"/>
        </w:rPr>
        <w:t xml:space="preserve">. </w:t>
      </w:r>
      <w:r w:rsidR="00214AF9">
        <w:rPr>
          <w:rFonts w:ascii="Times New Roman" w:hAnsi="Times New Roman" w:cs="Times New Roman"/>
          <w:sz w:val="24"/>
          <w:szCs w:val="24"/>
          <w:lang w:val="hr-HR"/>
        </w:rPr>
        <w:t>travnja 2022. godine,</w:t>
      </w:r>
      <w:r w:rsidR="00360EFC">
        <w:rPr>
          <w:rFonts w:ascii="Times New Roman" w:hAnsi="Times New Roman" w:cs="Times New Roman"/>
          <w:sz w:val="24"/>
          <w:szCs w:val="24"/>
          <w:lang w:val="hr-HR"/>
        </w:rPr>
        <w:t xml:space="preserve"> direktorica</w:t>
      </w:r>
      <w:r w:rsidR="00214AF9">
        <w:rPr>
          <w:rFonts w:ascii="Times New Roman" w:hAnsi="Times New Roman" w:cs="Times New Roman"/>
          <w:sz w:val="24"/>
          <w:szCs w:val="24"/>
          <w:lang w:val="hr-HR"/>
        </w:rPr>
        <w:t xml:space="preserve"> donosi</w:t>
      </w:r>
    </w:p>
    <w:p w14:paraId="7B6498F0" w14:textId="5D4C2D37" w:rsidR="00214AF9" w:rsidRDefault="00214AF9" w:rsidP="00E85876">
      <w:pPr>
        <w:jc w:val="both"/>
        <w:rPr>
          <w:rFonts w:ascii="Times New Roman" w:hAnsi="Times New Roman" w:cs="Times New Roman"/>
          <w:sz w:val="24"/>
          <w:szCs w:val="24"/>
          <w:lang w:val="hr-HR"/>
        </w:rPr>
      </w:pPr>
    </w:p>
    <w:p w14:paraId="767F7E32" w14:textId="5DF5B197" w:rsidR="00214AF9" w:rsidRDefault="00214AF9" w:rsidP="00EF2200">
      <w:pPr>
        <w:jc w:val="center"/>
        <w:rPr>
          <w:rFonts w:ascii="Times New Roman" w:hAnsi="Times New Roman" w:cs="Times New Roman"/>
          <w:b/>
          <w:bCs/>
          <w:sz w:val="24"/>
          <w:szCs w:val="24"/>
          <w:lang w:val="hr-HR"/>
        </w:rPr>
      </w:pPr>
      <w:r w:rsidRPr="00B934BF">
        <w:rPr>
          <w:rFonts w:ascii="Times New Roman" w:hAnsi="Times New Roman" w:cs="Times New Roman"/>
          <w:b/>
          <w:bCs/>
          <w:sz w:val="24"/>
          <w:szCs w:val="24"/>
          <w:lang w:val="hr-HR"/>
        </w:rPr>
        <w:t>Cjenik javne usluge sakupljanj</w:t>
      </w:r>
      <w:r w:rsidR="00B934BF">
        <w:rPr>
          <w:rFonts w:ascii="Times New Roman" w:hAnsi="Times New Roman" w:cs="Times New Roman"/>
          <w:b/>
          <w:bCs/>
          <w:sz w:val="24"/>
          <w:szCs w:val="24"/>
          <w:lang w:val="hr-HR"/>
        </w:rPr>
        <w:t xml:space="preserve">a </w:t>
      </w:r>
      <w:r w:rsidRPr="00B934BF">
        <w:rPr>
          <w:rFonts w:ascii="Times New Roman" w:hAnsi="Times New Roman" w:cs="Times New Roman"/>
          <w:b/>
          <w:bCs/>
          <w:sz w:val="24"/>
          <w:szCs w:val="24"/>
          <w:lang w:val="hr-HR"/>
        </w:rPr>
        <w:t>komunalnog otpada</w:t>
      </w:r>
      <w:r w:rsidR="00EF2200">
        <w:rPr>
          <w:rFonts w:ascii="Times New Roman" w:hAnsi="Times New Roman" w:cs="Times New Roman"/>
          <w:b/>
          <w:bCs/>
          <w:sz w:val="24"/>
          <w:szCs w:val="24"/>
          <w:lang w:val="hr-HR"/>
        </w:rPr>
        <w:t xml:space="preserve"> društva EKO Promina d.o.o.</w:t>
      </w:r>
    </w:p>
    <w:p w14:paraId="295CB3A3" w14:textId="77777777" w:rsidR="00682322" w:rsidRPr="00503589" w:rsidRDefault="00682322" w:rsidP="00682322">
      <w:pPr>
        <w:pStyle w:val="box468252"/>
        <w:shd w:val="clear" w:color="auto" w:fill="FFFFFF"/>
        <w:suppressAutoHyphens/>
        <w:spacing w:before="0" w:beforeAutospacing="0" w:after="48" w:afterAutospacing="0"/>
        <w:ind w:left="360" w:hanging="360"/>
        <w:textAlignment w:val="baseline"/>
        <w:rPr>
          <w:b/>
          <w:bCs/>
          <w:color w:val="231F20"/>
        </w:rPr>
      </w:pPr>
    </w:p>
    <w:p w14:paraId="64644C1B" w14:textId="77777777" w:rsidR="00682322" w:rsidRPr="00EC7526" w:rsidRDefault="00682322" w:rsidP="00682322">
      <w:pPr>
        <w:pStyle w:val="Heading2"/>
        <w:numPr>
          <w:ilvl w:val="0"/>
          <w:numId w:val="0"/>
        </w:numPr>
        <w:suppressAutoHyphens/>
        <w:spacing w:line="240" w:lineRule="auto"/>
        <w:rPr>
          <w:rFonts w:ascii="Times New Roman" w:hAnsi="Times New Roman" w:cs="Times New Roman"/>
          <w:color w:val="auto"/>
          <w:sz w:val="24"/>
          <w:szCs w:val="24"/>
        </w:rPr>
      </w:pPr>
      <w:r w:rsidRPr="00EC7526">
        <w:rPr>
          <w:rFonts w:ascii="Times New Roman" w:hAnsi="Times New Roman" w:cs="Times New Roman"/>
          <w:color w:val="auto"/>
          <w:sz w:val="24"/>
          <w:szCs w:val="24"/>
        </w:rPr>
        <w:t>1.1.Korisnik kategorije kućanstvo</w:t>
      </w:r>
    </w:p>
    <w:p w14:paraId="76C8841E" w14:textId="77777777" w:rsidR="00682322" w:rsidRPr="00503589" w:rsidRDefault="00682322" w:rsidP="00682322">
      <w:pPr>
        <w:suppressAutoHyphens/>
        <w:spacing w:line="240" w:lineRule="auto"/>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846"/>
        <w:gridCol w:w="5103"/>
        <w:gridCol w:w="1088"/>
        <w:gridCol w:w="1038"/>
        <w:gridCol w:w="1276"/>
      </w:tblGrid>
      <w:tr w:rsidR="00682322" w:rsidRPr="00503589" w14:paraId="6A073B57" w14:textId="77777777" w:rsidTr="007E66DC">
        <w:tc>
          <w:tcPr>
            <w:tcW w:w="846" w:type="dxa"/>
          </w:tcPr>
          <w:p w14:paraId="05816AB6"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Redni broj</w:t>
            </w:r>
          </w:p>
        </w:tc>
        <w:tc>
          <w:tcPr>
            <w:tcW w:w="5103" w:type="dxa"/>
          </w:tcPr>
          <w:p w14:paraId="50E78CAD"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Naziv</w:t>
            </w:r>
          </w:p>
        </w:tc>
        <w:tc>
          <w:tcPr>
            <w:tcW w:w="1088" w:type="dxa"/>
          </w:tcPr>
          <w:p w14:paraId="5E0CAA67"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Iznos</w:t>
            </w:r>
          </w:p>
          <w:p w14:paraId="26F21E4A"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c>
          <w:tcPr>
            <w:tcW w:w="1038" w:type="dxa"/>
          </w:tcPr>
          <w:p w14:paraId="3180D3CD"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PDV (13 %)</w:t>
            </w:r>
          </w:p>
          <w:p w14:paraId="364A2DEC"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c>
          <w:tcPr>
            <w:tcW w:w="1276" w:type="dxa"/>
          </w:tcPr>
          <w:p w14:paraId="56D09764"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Ukupno</w:t>
            </w:r>
          </w:p>
          <w:p w14:paraId="1B4CBD4F"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r>
      <w:tr w:rsidR="00682322" w:rsidRPr="00503589" w14:paraId="3A52687A" w14:textId="77777777" w:rsidTr="007E66DC">
        <w:tc>
          <w:tcPr>
            <w:tcW w:w="846" w:type="dxa"/>
          </w:tcPr>
          <w:p w14:paraId="327C68ED"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1.</w:t>
            </w:r>
          </w:p>
        </w:tc>
        <w:tc>
          <w:tcPr>
            <w:tcW w:w="5103" w:type="dxa"/>
          </w:tcPr>
          <w:p w14:paraId="69D20A49" w14:textId="77777777" w:rsidR="00682322" w:rsidRPr="00636D7A" w:rsidRDefault="00682322" w:rsidP="007E66DC">
            <w:pPr>
              <w:pStyle w:val="box468252"/>
              <w:suppressAutoHyphens/>
              <w:spacing w:before="0" w:beforeAutospacing="0" w:after="48" w:afterAutospacing="0"/>
              <w:textAlignment w:val="baseline"/>
            </w:pPr>
            <w:r w:rsidRPr="00636D7A">
              <w:t>Cijena obavezne minimalne javne usluge</w:t>
            </w:r>
          </w:p>
        </w:tc>
        <w:tc>
          <w:tcPr>
            <w:tcW w:w="1088" w:type="dxa"/>
          </w:tcPr>
          <w:p w14:paraId="39E18995"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46,00</w:t>
            </w:r>
          </w:p>
        </w:tc>
        <w:tc>
          <w:tcPr>
            <w:tcW w:w="1038" w:type="dxa"/>
          </w:tcPr>
          <w:p w14:paraId="1C67E4A9"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5,98</w:t>
            </w:r>
          </w:p>
        </w:tc>
        <w:tc>
          <w:tcPr>
            <w:tcW w:w="1276" w:type="dxa"/>
          </w:tcPr>
          <w:p w14:paraId="58BBDE77"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51,98</w:t>
            </w:r>
          </w:p>
        </w:tc>
      </w:tr>
      <w:tr w:rsidR="00682322" w:rsidRPr="00503589" w14:paraId="66D088E9" w14:textId="77777777" w:rsidTr="007E66DC">
        <w:tc>
          <w:tcPr>
            <w:tcW w:w="846" w:type="dxa"/>
          </w:tcPr>
          <w:p w14:paraId="067EE3B8"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2.</w:t>
            </w:r>
          </w:p>
        </w:tc>
        <w:tc>
          <w:tcPr>
            <w:tcW w:w="5103" w:type="dxa"/>
          </w:tcPr>
          <w:p w14:paraId="4CF2C3B0" w14:textId="77777777" w:rsidR="00682322" w:rsidRPr="00636D7A" w:rsidRDefault="00682322" w:rsidP="007E66DC">
            <w:pPr>
              <w:pStyle w:val="box468252"/>
              <w:shd w:val="clear" w:color="auto" w:fill="FFFFFF"/>
              <w:suppressAutoHyphens/>
              <w:spacing w:before="0" w:beforeAutospacing="0" w:after="48" w:afterAutospacing="0"/>
              <w:textAlignment w:val="baseline"/>
            </w:pPr>
            <w:r w:rsidRPr="00636D7A">
              <w:t>Cijena za 120 litara predanog miješanog</w:t>
            </w:r>
          </w:p>
          <w:p w14:paraId="184A1979" w14:textId="77777777" w:rsidR="00682322" w:rsidRPr="00636D7A" w:rsidRDefault="00682322" w:rsidP="007E66DC">
            <w:pPr>
              <w:pStyle w:val="box468252"/>
              <w:shd w:val="clear" w:color="auto" w:fill="FFFFFF"/>
              <w:suppressAutoHyphens/>
              <w:spacing w:before="0" w:beforeAutospacing="0" w:after="48" w:afterAutospacing="0"/>
              <w:textAlignment w:val="baseline"/>
            </w:pPr>
            <w:r w:rsidRPr="00636D7A">
              <w:t>komunalnog otpada (MKO) - jedna predaja</w:t>
            </w:r>
          </w:p>
        </w:tc>
        <w:tc>
          <w:tcPr>
            <w:tcW w:w="1088" w:type="dxa"/>
          </w:tcPr>
          <w:p w14:paraId="6DBFE4F6"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5,00</w:t>
            </w:r>
          </w:p>
        </w:tc>
        <w:tc>
          <w:tcPr>
            <w:tcW w:w="1038" w:type="dxa"/>
          </w:tcPr>
          <w:p w14:paraId="75BF9F6F"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0,65</w:t>
            </w:r>
          </w:p>
        </w:tc>
        <w:tc>
          <w:tcPr>
            <w:tcW w:w="1276" w:type="dxa"/>
          </w:tcPr>
          <w:p w14:paraId="53545F15"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5,65</w:t>
            </w:r>
          </w:p>
        </w:tc>
      </w:tr>
    </w:tbl>
    <w:p w14:paraId="69213C24" w14:textId="77777777" w:rsidR="00682322" w:rsidRPr="00503589" w:rsidRDefault="00682322" w:rsidP="00682322">
      <w:pPr>
        <w:suppressAutoHyphens/>
        <w:spacing w:line="240" w:lineRule="auto"/>
        <w:rPr>
          <w:rFonts w:ascii="Times New Roman" w:hAnsi="Times New Roman" w:cs="Times New Roman"/>
          <w:sz w:val="24"/>
          <w:szCs w:val="24"/>
        </w:rPr>
      </w:pPr>
    </w:p>
    <w:p w14:paraId="3B0D27B1" w14:textId="77777777" w:rsidR="00682322" w:rsidRPr="00EC7526" w:rsidRDefault="00682322" w:rsidP="00682322">
      <w:pPr>
        <w:pStyle w:val="Heading2"/>
        <w:numPr>
          <w:ilvl w:val="0"/>
          <w:numId w:val="0"/>
        </w:numPr>
        <w:suppressAutoHyphens/>
        <w:spacing w:line="240" w:lineRule="auto"/>
        <w:ind w:left="576" w:hanging="576"/>
        <w:rPr>
          <w:rFonts w:ascii="Times New Roman" w:hAnsi="Times New Roman" w:cs="Times New Roman"/>
          <w:color w:val="auto"/>
          <w:sz w:val="24"/>
          <w:szCs w:val="24"/>
        </w:rPr>
      </w:pPr>
      <w:bookmarkStart w:id="0" w:name="_Toc90453498"/>
      <w:r w:rsidRPr="00EC7526">
        <w:rPr>
          <w:rFonts w:ascii="Times New Roman" w:hAnsi="Times New Roman" w:cs="Times New Roman"/>
          <w:color w:val="auto"/>
          <w:sz w:val="24"/>
          <w:szCs w:val="24"/>
        </w:rPr>
        <w:t>1.2.Korisnik kategorije koji nije kućanstvo</w:t>
      </w:r>
      <w:bookmarkEnd w:id="0"/>
    </w:p>
    <w:p w14:paraId="02B87963" w14:textId="77777777" w:rsidR="00682322" w:rsidRPr="00DA24AF" w:rsidRDefault="00682322" w:rsidP="00682322">
      <w:pPr>
        <w:suppressAutoHyphens/>
        <w:spacing w:line="240" w:lineRule="auto"/>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846"/>
        <w:gridCol w:w="5103"/>
        <w:gridCol w:w="1129"/>
        <w:gridCol w:w="997"/>
        <w:gridCol w:w="1275"/>
      </w:tblGrid>
      <w:tr w:rsidR="00682322" w:rsidRPr="00503589" w14:paraId="50DE8827" w14:textId="77777777" w:rsidTr="007E66DC">
        <w:tc>
          <w:tcPr>
            <w:tcW w:w="846" w:type="dxa"/>
          </w:tcPr>
          <w:p w14:paraId="7A157466"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Redni broj</w:t>
            </w:r>
          </w:p>
        </w:tc>
        <w:tc>
          <w:tcPr>
            <w:tcW w:w="5103" w:type="dxa"/>
          </w:tcPr>
          <w:p w14:paraId="241F580F"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Naziv</w:t>
            </w:r>
          </w:p>
        </w:tc>
        <w:tc>
          <w:tcPr>
            <w:tcW w:w="1129" w:type="dxa"/>
          </w:tcPr>
          <w:p w14:paraId="6181EA53"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Iznos</w:t>
            </w:r>
          </w:p>
          <w:p w14:paraId="500758CE"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c>
          <w:tcPr>
            <w:tcW w:w="997" w:type="dxa"/>
          </w:tcPr>
          <w:p w14:paraId="44E6AAD5"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PDV (13 %)</w:t>
            </w:r>
          </w:p>
          <w:p w14:paraId="6034789B"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c>
          <w:tcPr>
            <w:tcW w:w="1275" w:type="dxa"/>
          </w:tcPr>
          <w:p w14:paraId="5803BA3C"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Ukupno</w:t>
            </w:r>
          </w:p>
          <w:p w14:paraId="220C672A" w14:textId="77777777" w:rsidR="00682322" w:rsidRPr="00EC7526" w:rsidRDefault="00682322" w:rsidP="007E66DC">
            <w:pPr>
              <w:pStyle w:val="box468252"/>
              <w:suppressAutoHyphens/>
              <w:spacing w:before="0" w:beforeAutospacing="0" w:after="48" w:afterAutospacing="0"/>
              <w:textAlignment w:val="baseline"/>
              <w:rPr>
                <w:color w:val="231F20"/>
              </w:rPr>
            </w:pPr>
            <w:r w:rsidRPr="00EC7526">
              <w:rPr>
                <w:color w:val="231F20"/>
              </w:rPr>
              <w:t>(kn)</w:t>
            </w:r>
          </w:p>
        </w:tc>
      </w:tr>
      <w:tr w:rsidR="00682322" w:rsidRPr="00503589" w14:paraId="1595AE19" w14:textId="77777777" w:rsidTr="007E66DC">
        <w:tc>
          <w:tcPr>
            <w:tcW w:w="846" w:type="dxa"/>
          </w:tcPr>
          <w:p w14:paraId="041A2E77"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1.</w:t>
            </w:r>
          </w:p>
        </w:tc>
        <w:tc>
          <w:tcPr>
            <w:tcW w:w="5103" w:type="dxa"/>
          </w:tcPr>
          <w:p w14:paraId="7B754D17" w14:textId="77777777" w:rsidR="00682322" w:rsidRPr="00636D7A" w:rsidRDefault="00682322" w:rsidP="007E66DC">
            <w:pPr>
              <w:pStyle w:val="box468252"/>
              <w:suppressAutoHyphens/>
              <w:spacing w:before="0" w:beforeAutospacing="0" w:after="48" w:afterAutospacing="0"/>
              <w:textAlignment w:val="baseline"/>
            </w:pPr>
            <w:r w:rsidRPr="00636D7A">
              <w:t>Cijena obavezne minimalne javne usluge</w:t>
            </w:r>
          </w:p>
        </w:tc>
        <w:tc>
          <w:tcPr>
            <w:tcW w:w="1129" w:type="dxa"/>
          </w:tcPr>
          <w:p w14:paraId="5E1B5E98" w14:textId="77777777" w:rsidR="00682322" w:rsidRPr="00636D7A" w:rsidRDefault="00682322" w:rsidP="007E66DC">
            <w:pPr>
              <w:pStyle w:val="box468252"/>
              <w:suppressAutoHyphens/>
              <w:spacing w:before="0" w:beforeAutospacing="0" w:after="48" w:afterAutospacing="0"/>
              <w:textAlignment w:val="baseline"/>
              <w:rPr>
                <w:color w:val="231F20"/>
              </w:rPr>
            </w:pPr>
            <w:r>
              <w:rPr>
                <w:color w:val="231F20"/>
              </w:rPr>
              <w:t>6</w:t>
            </w:r>
            <w:r w:rsidRPr="00636D7A">
              <w:rPr>
                <w:color w:val="231F20"/>
              </w:rPr>
              <w:t>0,00</w:t>
            </w:r>
          </w:p>
        </w:tc>
        <w:tc>
          <w:tcPr>
            <w:tcW w:w="997" w:type="dxa"/>
          </w:tcPr>
          <w:p w14:paraId="5B08D525" w14:textId="77777777" w:rsidR="00682322" w:rsidRPr="00636D7A" w:rsidRDefault="00682322" w:rsidP="007E66DC">
            <w:pPr>
              <w:pStyle w:val="box468252"/>
              <w:suppressAutoHyphens/>
              <w:spacing w:before="0" w:beforeAutospacing="0" w:after="48" w:afterAutospacing="0"/>
              <w:textAlignment w:val="baseline"/>
              <w:rPr>
                <w:color w:val="231F20"/>
              </w:rPr>
            </w:pPr>
            <w:r>
              <w:rPr>
                <w:color w:val="231F20"/>
              </w:rPr>
              <w:t>7,80</w:t>
            </w:r>
          </w:p>
        </w:tc>
        <w:tc>
          <w:tcPr>
            <w:tcW w:w="1275" w:type="dxa"/>
          </w:tcPr>
          <w:p w14:paraId="7CE5C3CE" w14:textId="77777777" w:rsidR="00682322" w:rsidRPr="00636D7A" w:rsidRDefault="00682322" w:rsidP="007E66DC">
            <w:pPr>
              <w:pStyle w:val="box468252"/>
              <w:suppressAutoHyphens/>
              <w:spacing w:before="0" w:beforeAutospacing="0" w:after="48" w:afterAutospacing="0"/>
              <w:textAlignment w:val="baseline"/>
              <w:rPr>
                <w:color w:val="231F20"/>
              </w:rPr>
            </w:pPr>
            <w:r>
              <w:rPr>
                <w:color w:val="231F20"/>
              </w:rPr>
              <w:t>67,80</w:t>
            </w:r>
          </w:p>
        </w:tc>
      </w:tr>
      <w:tr w:rsidR="00682322" w:rsidRPr="00503589" w14:paraId="57FF3867" w14:textId="77777777" w:rsidTr="007E66DC">
        <w:tc>
          <w:tcPr>
            <w:tcW w:w="846" w:type="dxa"/>
          </w:tcPr>
          <w:p w14:paraId="2A44BD17"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2.</w:t>
            </w:r>
          </w:p>
        </w:tc>
        <w:tc>
          <w:tcPr>
            <w:tcW w:w="5103" w:type="dxa"/>
          </w:tcPr>
          <w:p w14:paraId="2A16E430" w14:textId="77777777" w:rsidR="00682322" w:rsidRPr="00636D7A" w:rsidRDefault="00682322" w:rsidP="007E66DC">
            <w:pPr>
              <w:pStyle w:val="box468252"/>
              <w:shd w:val="clear" w:color="auto" w:fill="FFFFFF"/>
              <w:suppressAutoHyphens/>
              <w:spacing w:before="0" w:beforeAutospacing="0" w:after="48" w:afterAutospacing="0"/>
              <w:textAlignment w:val="baseline"/>
            </w:pPr>
            <w:r w:rsidRPr="00636D7A">
              <w:t>Cijena za 120 litara predanog miješanog</w:t>
            </w:r>
          </w:p>
          <w:p w14:paraId="4B3CCE31" w14:textId="77777777" w:rsidR="00682322" w:rsidRPr="00636D7A" w:rsidRDefault="00682322" w:rsidP="007E66DC">
            <w:pPr>
              <w:pStyle w:val="box468252"/>
              <w:shd w:val="clear" w:color="auto" w:fill="FFFFFF"/>
              <w:suppressAutoHyphens/>
              <w:spacing w:before="0" w:beforeAutospacing="0" w:after="48" w:afterAutospacing="0"/>
              <w:textAlignment w:val="baseline"/>
            </w:pPr>
            <w:r w:rsidRPr="00636D7A">
              <w:t>komunalnog otpada (MKO) - jedna predaja</w:t>
            </w:r>
          </w:p>
        </w:tc>
        <w:tc>
          <w:tcPr>
            <w:tcW w:w="1129" w:type="dxa"/>
          </w:tcPr>
          <w:p w14:paraId="76BF15F3"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7,00</w:t>
            </w:r>
          </w:p>
        </w:tc>
        <w:tc>
          <w:tcPr>
            <w:tcW w:w="997" w:type="dxa"/>
          </w:tcPr>
          <w:p w14:paraId="1BB9F78D"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0,91</w:t>
            </w:r>
          </w:p>
        </w:tc>
        <w:tc>
          <w:tcPr>
            <w:tcW w:w="1275" w:type="dxa"/>
          </w:tcPr>
          <w:p w14:paraId="485AA1D5" w14:textId="77777777" w:rsidR="00682322" w:rsidRPr="00636D7A" w:rsidRDefault="00682322" w:rsidP="007E66DC">
            <w:pPr>
              <w:pStyle w:val="box468252"/>
              <w:suppressAutoHyphens/>
              <w:spacing w:before="0" w:beforeAutospacing="0" w:after="48" w:afterAutospacing="0"/>
              <w:textAlignment w:val="baseline"/>
              <w:rPr>
                <w:color w:val="231F20"/>
              </w:rPr>
            </w:pPr>
            <w:r w:rsidRPr="00636D7A">
              <w:rPr>
                <w:color w:val="231F20"/>
              </w:rPr>
              <w:t>7,91</w:t>
            </w:r>
          </w:p>
        </w:tc>
      </w:tr>
    </w:tbl>
    <w:p w14:paraId="7523A0F4" w14:textId="77777777" w:rsidR="00682322" w:rsidRPr="00EC7526" w:rsidRDefault="00682322" w:rsidP="00682322">
      <w:pPr>
        <w:suppressAutoHyphens/>
        <w:spacing w:line="240" w:lineRule="auto"/>
        <w:rPr>
          <w:rFonts w:ascii="Times New Roman" w:hAnsi="Times New Roman" w:cs="Times New Roman"/>
          <w:sz w:val="24"/>
          <w:szCs w:val="24"/>
        </w:rPr>
      </w:pPr>
    </w:p>
    <w:p w14:paraId="72E2B32A" w14:textId="77777777" w:rsidR="00682322" w:rsidRPr="00EC7526" w:rsidRDefault="00682322" w:rsidP="00682322">
      <w:pPr>
        <w:pStyle w:val="Heading2"/>
        <w:numPr>
          <w:ilvl w:val="0"/>
          <w:numId w:val="0"/>
        </w:numPr>
        <w:suppressAutoHyphens/>
        <w:spacing w:line="240" w:lineRule="auto"/>
        <w:ind w:left="576" w:hanging="576"/>
        <w:rPr>
          <w:rFonts w:ascii="Times New Roman" w:hAnsi="Times New Roman" w:cs="Times New Roman"/>
          <w:sz w:val="24"/>
          <w:szCs w:val="24"/>
        </w:rPr>
      </w:pPr>
      <w:bookmarkStart w:id="1" w:name="_Toc90453499"/>
      <w:r w:rsidRPr="00EC7526">
        <w:rPr>
          <w:rFonts w:ascii="Times New Roman" w:hAnsi="Times New Roman" w:cs="Times New Roman"/>
          <w:color w:val="auto"/>
          <w:sz w:val="24"/>
          <w:szCs w:val="24"/>
        </w:rPr>
        <w:t>1.3.Kriteriji za umanjenje</w:t>
      </w:r>
      <w:bookmarkEnd w:id="1"/>
    </w:p>
    <w:p w14:paraId="7E003C47" w14:textId="77777777" w:rsidR="00682322" w:rsidRPr="00447DE2" w:rsidRDefault="00682322" w:rsidP="00682322">
      <w:pPr>
        <w:suppressAutoHyphens/>
        <w:spacing w:line="240" w:lineRule="auto"/>
        <w:rPr>
          <w:rFonts w:ascii="Times New Roman" w:hAnsi="Times New Roman" w:cs="Times New Roman"/>
          <w:sz w:val="24"/>
          <w:szCs w:val="24"/>
        </w:rPr>
      </w:pPr>
    </w:p>
    <w:p w14:paraId="3BF9E214" w14:textId="7A12FD19" w:rsidR="0074540E" w:rsidRPr="00682322" w:rsidRDefault="00682322" w:rsidP="00682322">
      <w:pPr>
        <w:suppressAutoHyphens/>
        <w:spacing w:after="3" w:line="240" w:lineRule="auto"/>
        <w:ind w:right="57"/>
        <w:jc w:val="both"/>
        <w:rPr>
          <w:rFonts w:ascii="Times New Roman" w:hAnsi="Times New Roman" w:cs="Times New Roman"/>
          <w:sz w:val="24"/>
          <w:szCs w:val="24"/>
          <w:lang w:val="hr-HR"/>
        </w:rPr>
      </w:pPr>
      <w:r w:rsidRPr="00682322">
        <w:rPr>
          <w:rFonts w:ascii="Times New Roman" w:hAnsi="Times New Roman" w:cs="Times New Roman"/>
          <w:sz w:val="24"/>
          <w:szCs w:val="24"/>
          <w:lang w:val="hr-HR"/>
        </w:rPr>
        <w:t>Pravo na umanjenje cijene obavezne minimalne javne usluge, temeljem članka 73. Zakona o gospodarenju otpadom (NN 84/21) i članka 23. Odluke o načinu pružanja javne usluge sakupljanja komunalnog otpada na području Općine Promina ostvaruju korisnici kategorije kućanstvo koji kompostiraju biootpad. Cijena minimalne javne usluge umanjit će se na mjesečnom računu za 5,00 kn</w:t>
      </w:r>
    </w:p>
    <w:sectPr w:rsidR="0074540E" w:rsidRPr="0068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53F"/>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D4D6A21"/>
    <w:multiLevelType w:val="hybridMultilevel"/>
    <w:tmpl w:val="4A08A134"/>
    <w:lvl w:ilvl="0" w:tplc="29E453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79108465">
    <w:abstractNumId w:val="1"/>
  </w:num>
  <w:num w:numId="2" w16cid:durableId="127868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D3"/>
    <w:rsid w:val="0013426E"/>
    <w:rsid w:val="00173212"/>
    <w:rsid w:val="00214AF9"/>
    <w:rsid w:val="00360EFC"/>
    <w:rsid w:val="003F4C7F"/>
    <w:rsid w:val="004A452C"/>
    <w:rsid w:val="005063F7"/>
    <w:rsid w:val="00564CC9"/>
    <w:rsid w:val="00620C6A"/>
    <w:rsid w:val="00682322"/>
    <w:rsid w:val="0074540E"/>
    <w:rsid w:val="00746A3C"/>
    <w:rsid w:val="00786C55"/>
    <w:rsid w:val="007E6751"/>
    <w:rsid w:val="00843FDB"/>
    <w:rsid w:val="0088232F"/>
    <w:rsid w:val="00991160"/>
    <w:rsid w:val="00B934BF"/>
    <w:rsid w:val="00BA3BD3"/>
    <w:rsid w:val="00BF398C"/>
    <w:rsid w:val="00C552EE"/>
    <w:rsid w:val="00CD2A47"/>
    <w:rsid w:val="00E85876"/>
    <w:rsid w:val="00EC7526"/>
    <w:rsid w:val="00EF2200"/>
    <w:rsid w:val="00F11517"/>
    <w:rsid w:val="00FD6507"/>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99CF"/>
  <w15:chartTrackingRefBased/>
  <w15:docId w15:val="{74FEB55A-E9CD-495B-96CF-DF54973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322"/>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lang w:val="hr-HR"/>
    </w:rPr>
  </w:style>
  <w:style w:type="paragraph" w:styleId="Heading2">
    <w:name w:val="heading 2"/>
    <w:basedOn w:val="Normal"/>
    <w:next w:val="Normal"/>
    <w:link w:val="Heading2Char"/>
    <w:uiPriority w:val="9"/>
    <w:unhideWhenUsed/>
    <w:qFormat/>
    <w:rsid w:val="0068232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lang w:val="hr-HR"/>
    </w:rPr>
  </w:style>
  <w:style w:type="paragraph" w:styleId="Heading3">
    <w:name w:val="heading 3"/>
    <w:basedOn w:val="Normal"/>
    <w:next w:val="Normal"/>
    <w:link w:val="Heading3Char"/>
    <w:uiPriority w:val="9"/>
    <w:semiHidden/>
    <w:unhideWhenUsed/>
    <w:qFormat/>
    <w:rsid w:val="00682322"/>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lang w:val="hr-HR"/>
    </w:rPr>
  </w:style>
  <w:style w:type="paragraph" w:styleId="Heading4">
    <w:name w:val="heading 4"/>
    <w:basedOn w:val="Normal"/>
    <w:next w:val="Normal"/>
    <w:link w:val="Heading4Char"/>
    <w:uiPriority w:val="9"/>
    <w:semiHidden/>
    <w:unhideWhenUsed/>
    <w:qFormat/>
    <w:rsid w:val="0068232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lang w:val="hr-HR"/>
    </w:rPr>
  </w:style>
  <w:style w:type="paragraph" w:styleId="Heading5">
    <w:name w:val="heading 5"/>
    <w:basedOn w:val="Normal"/>
    <w:next w:val="Normal"/>
    <w:link w:val="Heading5Char"/>
    <w:uiPriority w:val="9"/>
    <w:semiHidden/>
    <w:unhideWhenUsed/>
    <w:qFormat/>
    <w:rsid w:val="00682322"/>
    <w:pPr>
      <w:keepNext/>
      <w:keepLines/>
      <w:numPr>
        <w:ilvl w:val="4"/>
        <w:numId w:val="2"/>
      </w:numPr>
      <w:spacing w:before="40" w:after="0"/>
      <w:outlineLvl w:val="4"/>
    </w:pPr>
    <w:rPr>
      <w:rFonts w:asciiTheme="majorHAnsi" w:eastAsiaTheme="majorEastAsia" w:hAnsiTheme="majorHAnsi" w:cstheme="majorBidi"/>
      <w:color w:val="2F5496" w:themeColor="accent1" w:themeShade="BF"/>
      <w:lang w:val="hr-HR"/>
    </w:rPr>
  </w:style>
  <w:style w:type="paragraph" w:styleId="Heading6">
    <w:name w:val="heading 6"/>
    <w:basedOn w:val="Normal"/>
    <w:next w:val="Normal"/>
    <w:link w:val="Heading6Char"/>
    <w:uiPriority w:val="9"/>
    <w:semiHidden/>
    <w:unhideWhenUsed/>
    <w:qFormat/>
    <w:rsid w:val="00682322"/>
    <w:pPr>
      <w:keepNext/>
      <w:keepLines/>
      <w:numPr>
        <w:ilvl w:val="5"/>
        <w:numId w:val="2"/>
      </w:numPr>
      <w:spacing w:before="40" w:after="0"/>
      <w:outlineLvl w:val="5"/>
    </w:pPr>
    <w:rPr>
      <w:rFonts w:asciiTheme="majorHAnsi" w:eastAsiaTheme="majorEastAsia" w:hAnsiTheme="majorHAnsi" w:cstheme="majorBidi"/>
      <w:color w:val="1F3763" w:themeColor="accent1" w:themeShade="7F"/>
      <w:lang w:val="hr-HR"/>
    </w:rPr>
  </w:style>
  <w:style w:type="paragraph" w:styleId="Heading7">
    <w:name w:val="heading 7"/>
    <w:basedOn w:val="Normal"/>
    <w:next w:val="Normal"/>
    <w:link w:val="Heading7Char"/>
    <w:uiPriority w:val="9"/>
    <w:semiHidden/>
    <w:unhideWhenUsed/>
    <w:qFormat/>
    <w:rsid w:val="0068232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lang w:val="hr-HR"/>
    </w:rPr>
  </w:style>
  <w:style w:type="paragraph" w:styleId="Heading8">
    <w:name w:val="heading 8"/>
    <w:basedOn w:val="Normal"/>
    <w:next w:val="Normal"/>
    <w:link w:val="Heading8Char"/>
    <w:uiPriority w:val="9"/>
    <w:semiHidden/>
    <w:unhideWhenUsed/>
    <w:qFormat/>
    <w:rsid w:val="0068232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lang w:val="hr-HR"/>
    </w:rPr>
  </w:style>
  <w:style w:type="paragraph" w:styleId="Heading9">
    <w:name w:val="heading 9"/>
    <w:basedOn w:val="Normal"/>
    <w:next w:val="Normal"/>
    <w:link w:val="Heading9Char"/>
    <w:uiPriority w:val="9"/>
    <w:semiHidden/>
    <w:unhideWhenUsed/>
    <w:qFormat/>
    <w:rsid w:val="0068232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BF"/>
    <w:pPr>
      <w:ind w:left="720"/>
      <w:contextualSpacing/>
    </w:pPr>
  </w:style>
  <w:style w:type="character" w:customStyle="1" w:styleId="Heading1Char">
    <w:name w:val="Heading 1 Char"/>
    <w:basedOn w:val="DefaultParagraphFont"/>
    <w:link w:val="Heading1"/>
    <w:uiPriority w:val="9"/>
    <w:rsid w:val="00682322"/>
    <w:rPr>
      <w:rFonts w:asciiTheme="majorHAnsi" w:eastAsiaTheme="majorEastAsia" w:hAnsiTheme="majorHAnsi" w:cstheme="majorBidi"/>
      <w:color w:val="2F5496" w:themeColor="accent1" w:themeShade="BF"/>
      <w:sz w:val="32"/>
      <w:szCs w:val="32"/>
      <w:lang w:val="hr-HR"/>
    </w:rPr>
  </w:style>
  <w:style w:type="character" w:customStyle="1" w:styleId="Heading2Char">
    <w:name w:val="Heading 2 Char"/>
    <w:basedOn w:val="DefaultParagraphFont"/>
    <w:link w:val="Heading2"/>
    <w:uiPriority w:val="9"/>
    <w:rsid w:val="00682322"/>
    <w:rPr>
      <w:rFonts w:asciiTheme="majorHAnsi" w:eastAsiaTheme="majorEastAsia" w:hAnsiTheme="majorHAnsi" w:cstheme="majorBidi"/>
      <w:color w:val="2F5496" w:themeColor="accent1" w:themeShade="BF"/>
      <w:sz w:val="26"/>
      <w:szCs w:val="26"/>
      <w:lang w:val="hr-HR"/>
    </w:rPr>
  </w:style>
  <w:style w:type="character" w:customStyle="1" w:styleId="Heading3Char">
    <w:name w:val="Heading 3 Char"/>
    <w:basedOn w:val="DefaultParagraphFont"/>
    <w:link w:val="Heading3"/>
    <w:uiPriority w:val="9"/>
    <w:semiHidden/>
    <w:rsid w:val="00682322"/>
    <w:rPr>
      <w:rFonts w:asciiTheme="majorHAnsi" w:eastAsiaTheme="majorEastAsia" w:hAnsiTheme="majorHAnsi" w:cstheme="majorBidi"/>
      <w:color w:val="1F3763" w:themeColor="accent1" w:themeShade="7F"/>
      <w:sz w:val="24"/>
      <w:szCs w:val="24"/>
      <w:lang w:val="hr-HR"/>
    </w:rPr>
  </w:style>
  <w:style w:type="character" w:customStyle="1" w:styleId="Heading4Char">
    <w:name w:val="Heading 4 Char"/>
    <w:basedOn w:val="DefaultParagraphFont"/>
    <w:link w:val="Heading4"/>
    <w:uiPriority w:val="9"/>
    <w:semiHidden/>
    <w:rsid w:val="00682322"/>
    <w:rPr>
      <w:rFonts w:asciiTheme="majorHAnsi" w:eastAsiaTheme="majorEastAsia" w:hAnsiTheme="majorHAnsi" w:cstheme="majorBidi"/>
      <w:i/>
      <w:iCs/>
      <w:color w:val="2F5496" w:themeColor="accent1" w:themeShade="BF"/>
      <w:lang w:val="hr-HR"/>
    </w:rPr>
  </w:style>
  <w:style w:type="character" w:customStyle="1" w:styleId="Heading5Char">
    <w:name w:val="Heading 5 Char"/>
    <w:basedOn w:val="DefaultParagraphFont"/>
    <w:link w:val="Heading5"/>
    <w:uiPriority w:val="9"/>
    <w:semiHidden/>
    <w:rsid w:val="00682322"/>
    <w:rPr>
      <w:rFonts w:asciiTheme="majorHAnsi" w:eastAsiaTheme="majorEastAsia" w:hAnsiTheme="majorHAnsi" w:cstheme="majorBidi"/>
      <w:color w:val="2F5496" w:themeColor="accent1" w:themeShade="BF"/>
      <w:lang w:val="hr-HR"/>
    </w:rPr>
  </w:style>
  <w:style w:type="character" w:customStyle="1" w:styleId="Heading6Char">
    <w:name w:val="Heading 6 Char"/>
    <w:basedOn w:val="DefaultParagraphFont"/>
    <w:link w:val="Heading6"/>
    <w:uiPriority w:val="9"/>
    <w:semiHidden/>
    <w:rsid w:val="00682322"/>
    <w:rPr>
      <w:rFonts w:asciiTheme="majorHAnsi" w:eastAsiaTheme="majorEastAsia" w:hAnsiTheme="majorHAnsi" w:cstheme="majorBidi"/>
      <w:color w:val="1F3763" w:themeColor="accent1" w:themeShade="7F"/>
      <w:lang w:val="hr-HR"/>
    </w:rPr>
  </w:style>
  <w:style w:type="character" w:customStyle="1" w:styleId="Heading7Char">
    <w:name w:val="Heading 7 Char"/>
    <w:basedOn w:val="DefaultParagraphFont"/>
    <w:link w:val="Heading7"/>
    <w:uiPriority w:val="9"/>
    <w:semiHidden/>
    <w:rsid w:val="00682322"/>
    <w:rPr>
      <w:rFonts w:asciiTheme="majorHAnsi" w:eastAsiaTheme="majorEastAsia" w:hAnsiTheme="majorHAnsi" w:cstheme="majorBidi"/>
      <w:i/>
      <w:iCs/>
      <w:color w:val="1F3763" w:themeColor="accent1" w:themeShade="7F"/>
      <w:lang w:val="hr-HR"/>
    </w:rPr>
  </w:style>
  <w:style w:type="character" w:customStyle="1" w:styleId="Heading8Char">
    <w:name w:val="Heading 8 Char"/>
    <w:basedOn w:val="DefaultParagraphFont"/>
    <w:link w:val="Heading8"/>
    <w:uiPriority w:val="9"/>
    <w:semiHidden/>
    <w:rsid w:val="00682322"/>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uiPriority w:val="9"/>
    <w:semiHidden/>
    <w:rsid w:val="00682322"/>
    <w:rPr>
      <w:rFonts w:asciiTheme="majorHAnsi" w:eastAsiaTheme="majorEastAsia" w:hAnsiTheme="majorHAnsi" w:cstheme="majorBidi"/>
      <w:i/>
      <w:iCs/>
      <w:color w:val="272727" w:themeColor="text1" w:themeTint="D8"/>
      <w:sz w:val="21"/>
      <w:szCs w:val="21"/>
      <w:lang w:val="hr-HR"/>
    </w:rPr>
  </w:style>
  <w:style w:type="paragraph" w:customStyle="1" w:styleId="box468252">
    <w:name w:val="box_468252"/>
    <w:basedOn w:val="Normal"/>
    <w:rsid w:val="0068232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68232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EKO PROMINA d.o.o.</cp:lastModifiedBy>
  <cp:revision>11</cp:revision>
  <dcterms:created xsi:type="dcterms:W3CDTF">2022-04-14T17:42:00Z</dcterms:created>
  <dcterms:modified xsi:type="dcterms:W3CDTF">2022-04-20T10:55:00Z</dcterms:modified>
</cp:coreProperties>
</file>