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AF20" w14:textId="59720144" w:rsidR="000B31DC" w:rsidRDefault="000B31DC" w:rsidP="00975B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7932D5AA" wp14:editId="1874F1EE">
            <wp:extent cx="1562100" cy="1476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10B7" w14:textId="57293DD3" w:rsidR="00975B7B" w:rsidRPr="002E32B2" w:rsidRDefault="00975B7B" w:rsidP="00975B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KLASA: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31DC">
        <w:rPr>
          <w:rFonts w:ascii="Times New Roman" w:hAnsi="Times New Roman" w:cs="Times New Roman"/>
          <w:sz w:val="24"/>
          <w:szCs w:val="24"/>
          <w:lang w:val="hr-HR"/>
        </w:rPr>
        <w:t>363-01/22-01/3</w:t>
      </w:r>
    </w:p>
    <w:p w14:paraId="40963F3B" w14:textId="12B6C667" w:rsidR="00975B7B" w:rsidRPr="002E32B2" w:rsidRDefault="00975B7B" w:rsidP="00975B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0B31DC">
        <w:rPr>
          <w:rFonts w:ascii="Times New Roman" w:hAnsi="Times New Roman" w:cs="Times New Roman"/>
          <w:sz w:val="24"/>
          <w:szCs w:val="24"/>
          <w:lang w:val="hr-HR"/>
        </w:rPr>
        <w:t xml:space="preserve"> 2182-9-22-4</w:t>
      </w:r>
    </w:p>
    <w:p w14:paraId="5F0492EC" w14:textId="4F5AB1BE" w:rsidR="00975B7B" w:rsidRPr="002E32B2" w:rsidRDefault="00975B7B" w:rsidP="00975B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Oklaj, </w:t>
      </w:r>
      <w:r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>. travnja 2022. godine</w:t>
      </w:r>
    </w:p>
    <w:p w14:paraId="4D85556E" w14:textId="77777777" w:rsidR="00975B7B" w:rsidRPr="00993533" w:rsidRDefault="00975B7B" w:rsidP="00975B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F2B33CE" w14:textId="57254D05" w:rsidR="00975B7B" w:rsidRPr="002E32B2" w:rsidRDefault="00975B7B" w:rsidP="00975B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77. stavka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>. Zakona o gospodarenju otpadom (NN broj 84/21) i članka 50. Statuta Općine Promina (Službeno glasilo Općine Promina 1/21 i 4/21)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općinski načelnik Općine Promina, dana </w:t>
      </w:r>
      <w:r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>. travnja 2022. godine, donosi</w:t>
      </w:r>
    </w:p>
    <w:p w14:paraId="7B6498F0" w14:textId="5D4C2D37" w:rsidR="00214AF9" w:rsidRPr="009213B8" w:rsidRDefault="00214AF9" w:rsidP="004B5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EABB4F" w14:textId="2EB90BF3" w:rsidR="00173212" w:rsidRPr="009213B8" w:rsidRDefault="00FD6507" w:rsidP="004B53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</w:t>
      </w:r>
    </w:p>
    <w:p w14:paraId="27EB2730" w14:textId="7B1A11C8" w:rsidR="00214AF9" w:rsidRPr="009213B8" w:rsidRDefault="00FD6507" w:rsidP="004B53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>o davanju suglasnosti</w:t>
      </w:r>
      <w:r w:rsidR="00214AF9"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društvu EKO Promina d.o.o. na </w:t>
      </w:r>
      <w:r w:rsidR="00214AF9"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>Cjenik javne usluge sakupljanja komunalnog otpada</w:t>
      </w:r>
    </w:p>
    <w:p w14:paraId="3BF9E214" w14:textId="06016651" w:rsidR="0074540E" w:rsidRDefault="0074540E" w:rsidP="009213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EBEF442" w14:textId="62709CE7" w:rsidR="000C40DC" w:rsidRPr="009213B8" w:rsidRDefault="000C40DC" w:rsidP="000C40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3A616B80" w14:textId="5103F66A" w:rsidR="00FD6507" w:rsidRPr="009213B8" w:rsidRDefault="00FD6507" w:rsidP="000B3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13B8">
        <w:rPr>
          <w:rFonts w:ascii="Times New Roman" w:hAnsi="Times New Roman" w:cs="Times New Roman"/>
          <w:sz w:val="24"/>
          <w:szCs w:val="24"/>
          <w:lang w:val="hr-HR"/>
        </w:rPr>
        <w:t>Daje se suglasnost društvu EKO Promina d.o.o. na Cjenik javne usluge sakupljanja komunalnog otpada</w:t>
      </w:r>
      <w:r w:rsidR="00746A3C" w:rsidRPr="009213B8">
        <w:rPr>
          <w:rFonts w:ascii="Times New Roman" w:hAnsi="Times New Roman" w:cs="Times New Roman"/>
          <w:sz w:val="24"/>
          <w:szCs w:val="24"/>
          <w:lang w:val="hr-HR"/>
        </w:rPr>
        <w:t xml:space="preserve">, URBROJ: </w:t>
      </w:r>
      <w:r w:rsidR="00CD2A47" w:rsidRPr="009213B8">
        <w:rPr>
          <w:rFonts w:ascii="Times New Roman" w:hAnsi="Times New Roman" w:cs="Times New Roman"/>
          <w:sz w:val="24"/>
          <w:szCs w:val="24"/>
          <w:lang w:val="hr-HR"/>
        </w:rPr>
        <w:t>347</w:t>
      </w:r>
      <w:r w:rsidR="00746A3C" w:rsidRPr="009213B8">
        <w:rPr>
          <w:rFonts w:ascii="Times New Roman" w:hAnsi="Times New Roman" w:cs="Times New Roman"/>
          <w:sz w:val="24"/>
          <w:szCs w:val="24"/>
          <w:lang w:val="hr-HR"/>
        </w:rPr>
        <w:t>/2022 od</w:t>
      </w:r>
      <w:r w:rsidR="00CD2A47" w:rsidRPr="009213B8">
        <w:rPr>
          <w:rFonts w:ascii="Times New Roman" w:hAnsi="Times New Roman" w:cs="Times New Roman"/>
          <w:sz w:val="24"/>
          <w:szCs w:val="24"/>
          <w:lang w:val="hr-HR"/>
        </w:rPr>
        <w:t xml:space="preserve"> 19.</w:t>
      </w:r>
      <w:r w:rsidR="00746A3C" w:rsidRPr="009213B8">
        <w:rPr>
          <w:rFonts w:ascii="Times New Roman" w:hAnsi="Times New Roman" w:cs="Times New Roman"/>
          <w:sz w:val="24"/>
          <w:szCs w:val="24"/>
          <w:lang w:val="hr-HR"/>
        </w:rPr>
        <w:t xml:space="preserve"> travnja 2022. godine koji će se primjenjivati od 1. lipnja 2022. godine i to kako slijedi:</w:t>
      </w:r>
    </w:p>
    <w:p w14:paraId="2011188D" w14:textId="77777777" w:rsidR="00CB37FD" w:rsidRPr="009213B8" w:rsidRDefault="00CB37FD" w:rsidP="004B53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AFC837A" w14:textId="48A98CAD" w:rsidR="00A74E08" w:rsidRPr="009213B8" w:rsidRDefault="00CB37FD" w:rsidP="004B53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>Cjenik javne usluge društva EKO Promina d.o.o.</w:t>
      </w:r>
    </w:p>
    <w:p w14:paraId="7E981DF5" w14:textId="7AB688D8" w:rsidR="00A74E08" w:rsidRPr="009213B8" w:rsidRDefault="00802E42" w:rsidP="00975B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13B8">
        <w:rPr>
          <w:rFonts w:ascii="Times New Roman" w:hAnsi="Times New Roman" w:cs="Times New Roman"/>
          <w:b/>
          <w:bCs/>
          <w:sz w:val="24"/>
          <w:szCs w:val="24"/>
          <w:lang w:val="hr-HR"/>
        </w:rPr>
        <w:t>Korisnik kategorije kućanstvo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46"/>
        <w:gridCol w:w="5103"/>
        <w:gridCol w:w="1088"/>
        <w:gridCol w:w="1038"/>
        <w:gridCol w:w="1276"/>
      </w:tblGrid>
      <w:tr w:rsidR="00802E42" w:rsidRPr="009213B8" w14:paraId="4E9C95BB" w14:textId="77777777" w:rsidTr="00E152CD">
        <w:tc>
          <w:tcPr>
            <w:tcW w:w="846" w:type="dxa"/>
          </w:tcPr>
          <w:p w14:paraId="0375BF23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Redni broj</w:t>
            </w:r>
          </w:p>
        </w:tc>
        <w:tc>
          <w:tcPr>
            <w:tcW w:w="5103" w:type="dxa"/>
          </w:tcPr>
          <w:p w14:paraId="573254E4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Naziv</w:t>
            </w:r>
          </w:p>
        </w:tc>
        <w:tc>
          <w:tcPr>
            <w:tcW w:w="1088" w:type="dxa"/>
          </w:tcPr>
          <w:p w14:paraId="40EF8AFD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Iznos</w:t>
            </w:r>
          </w:p>
          <w:p w14:paraId="40B3F5C9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(kn)</w:t>
            </w:r>
          </w:p>
        </w:tc>
        <w:tc>
          <w:tcPr>
            <w:tcW w:w="1038" w:type="dxa"/>
          </w:tcPr>
          <w:p w14:paraId="52E8ECBF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PDV (13 %)</w:t>
            </w:r>
          </w:p>
          <w:p w14:paraId="4CCF353A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(kn)</w:t>
            </w:r>
          </w:p>
        </w:tc>
        <w:tc>
          <w:tcPr>
            <w:tcW w:w="1276" w:type="dxa"/>
          </w:tcPr>
          <w:p w14:paraId="4439C3BE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Ukupno</w:t>
            </w:r>
          </w:p>
          <w:p w14:paraId="77172969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(kn)</w:t>
            </w:r>
          </w:p>
        </w:tc>
      </w:tr>
      <w:tr w:rsidR="00802E42" w:rsidRPr="009213B8" w14:paraId="55E3C212" w14:textId="77777777" w:rsidTr="00E152CD">
        <w:tc>
          <w:tcPr>
            <w:tcW w:w="846" w:type="dxa"/>
          </w:tcPr>
          <w:p w14:paraId="6829190C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0BB2D3B4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</w:pPr>
            <w:r w:rsidRPr="009213B8">
              <w:t>Cijena obavezne minimalne javne usluge</w:t>
            </w:r>
          </w:p>
        </w:tc>
        <w:tc>
          <w:tcPr>
            <w:tcW w:w="1088" w:type="dxa"/>
          </w:tcPr>
          <w:p w14:paraId="66705AE8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46,00</w:t>
            </w:r>
          </w:p>
        </w:tc>
        <w:tc>
          <w:tcPr>
            <w:tcW w:w="1038" w:type="dxa"/>
          </w:tcPr>
          <w:p w14:paraId="7F5C7129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5,98</w:t>
            </w:r>
          </w:p>
        </w:tc>
        <w:tc>
          <w:tcPr>
            <w:tcW w:w="1276" w:type="dxa"/>
          </w:tcPr>
          <w:p w14:paraId="186E2DE7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51,98</w:t>
            </w:r>
          </w:p>
        </w:tc>
      </w:tr>
      <w:tr w:rsidR="00802E42" w:rsidRPr="009213B8" w14:paraId="2E118622" w14:textId="77777777" w:rsidTr="00E152CD">
        <w:tc>
          <w:tcPr>
            <w:tcW w:w="846" w:type="dxa"/>
          </w:tcPr>
          <w:p w14:paraId="1D990D80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13A79CA1" w14:textId="77777777" w:rsidR="00802E42" w:rsidRPr="009213B8" w:rsidRDefault="00802E42" w:rsidP="004B5391">
            <w:pPr>
              <w:pStyle w:val="box468252"/>
              <w:shd w:val="clear" w:color="auto" w:fill="FFFFFF"/>
              <w:suppressAutoHyphens/>
              <w:spacing w:before="0" w:beforeAutospacing="0" w:after="0" w:afterAutospacing="0" w:line="360" w:lineRule="auto"/>
              <w:textAlignment w:val="baseline"/>
            </w:pPr>
            <w:r w:rsidRPr="009213B8">
              <w:t>Cijena za 120 litara predanog miješanog</w:t>
            </w:r>
          </w:p>
          <w:p w14:paraId="203077A6" w14:textId="77777777" w:rsidR="00802E42" w:rsidRPr="009213B8" w:rsidRDefault="00802E42" w:rsidP="004B5391">
            <w:pPr>
              <w:pStyle w:val="box468252"/>
              <w:shd w:val="clear" w:color="auto" w:fill="FFFFFF"/>
              <w:suppressAutoHyphens/>
              <w:spacing w:before="0" w:beforeAutospacing="0" w:after="0" w:afterAutospacing="0" w:line="360" w:lineRule="auto"/>
              <w:textAlignment w:val="baseline"/>
            </w:pPr>
            <w:r w:rsidRPr="009213B8">
              <w:t>komunalnog otpada (MKO) - jedna predaja</w:t>
            </w:r>
          </w:p>
        </w:tc>
        <w:tc>
          <w:tcPr>
            <w:tcW w:w="1088" w:type="dxa"/>
          </w:tcPr>
          <w:p w14:paraId="7E6AE6C1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5,00</w:t>
            </w:r>
          </w:p>
        </w:tc>
        <w:tc>
          <w:tcPr>
            <w:tcW w:w="1038" w:type="dxa"/>
          </w:tcPr>
          <w:p w14:paraId="662376F1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0,65</w:t>
            </w:r>
          </w:p>
        </w:tc>
        <w:tc>
          <w:tcPr>
            <w:tcW w:w="1276" w:type="dxa"/>
          </w:tcPr>
          <w:p w14:paraId="7996ED10" w14:textId="77777777" w:rsidR="00802E42" w:rsidRPr="009213B8" w:rsidRDefault="00802E42" w:rsidP="004B5391">
            <w:pPr>
              <w:pStyle w:val="box468252"/>
              <w:suppressAutoHyphens/>
              <w:spacing w:before="0" w:beforeAutospacing="0" w:after="0" w:afterAutospacing="0" w:line="360" w:lineRule="auto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5,65</w:t>
            </w:r>
          </w:p>
        </w:tc>
      </w:tr>
    </w:tbl>
    <w:p w14:paraId="0550858E" w14:textId="68CFA5D2" w:rsidR="00802E42" w:rsidRPr="009213B8" w:rsidRDefault="00802E42" w:rsidP="004B53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C29AE2E" w14:textId="4B41DC36" w:rsidR="00746A3C" w:rsidRPr="009213B8" w:rsidRDefault="00746A3C" w:rsidP="004B5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403A32" w14:textId="4CB9D677" w:rsidR="00A74E08" w:rsidRPr="009213B8" w:rsidRDefault="004B5391" w:rsidP="004B5391">
      <w:pPr>
        <w:pStyle w:val="Naslov2"/>
        <w:numPr>
          <w:ilvl w:val="0"/>
          <w:numId w:val="0"/>
        </w:numPr>
        <w:suppressAutoHyphens/>
        <w:spacing w:before="0" w:line="360" w:lineRule="auto"/>
        <w:ind w:left="576" w:hanging="57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213B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Korisnik kategorije koji nije kućanstvo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846"/>
        <w:gridCol w:w="5103"/>
        <w:gridCol w:w="1129"/>
        <w:gridCol w:w="997"/>
        <w:gridCol w:w="1275"/>
      </w:tblGrid>
      <w:tr w:rsidR="004B5391" w:rsidRPr="009213B8" w14:paraId="48EE7CA7" w14:textId="77777777" w:rsidTr="00E152CD">
        <w:tc>
          <w:tcPr>
            <w:tcW w:w="846" w:type="dxa"/>
          </w:tcPr>
          <w:p w14:paraId="6266BEC3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Redni broj</w:t>
            </w:r>
          </w:p>
        </w:tc>
        <w:tc>
          <w:tcPr>
            <w:tcW w:w="5103" w:type="dxa"/>
          </w:tcPr>
          <w:p w14:paraId="1AB120B3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Naziv</w:t>
            </w:r>
          </w:p>
        </w:tc>
        <w:tc>
          <w:tcPr>
            <w:tcW w:w="1129" w:type="dxa"/>
          </w:tcPr>
          <w:p w14:paraId="18402F0C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Iznos</w:t>
            </w:r>
          </w:p>
          <w:p w14:paraId="7159A5CA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(kn)</w:t>
            </w:r>
          </w:p>
        </w:tc>
        <w:tc>
          <w:tcPr>
            <w:tcW w:w="997" w:type="dxa"/>
          </w:tcPr>
          <w:p w14:paraId="173A2CB3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PDV (13 %)</w:t>
            </w:r>
          </w:p>
          <w:p w14:paraId="2DD17B50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(kn)</w:t>
            </w:r>
          </w:p>
        </w:tc>
        <w:tc>
          <w:tcPr>
            <w:tcW w:w="1275" w:type="dxa"/>
          </w:tcPr>
          <w:p w14:paraId="58746CF3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Ukupno</w:t>
            </w:r>
          </w:p>
          <w:p w14:paraId="05848BA9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31F20"/>
              </w:rPr>
            </w:pPr>
            <w:r w:rsidRPr="009213B8">
              <w:rPr>
                <w:b/>
                <w:bCs/>
                <w:color w:val="231F20"/>
              </w:rPr>
              <w:t>(kn)</w:t>
            </w:r>
          </w:p>
        </w:tc>
      </w:tr>
      <w:tr w:rsidR="004B5391" w:rsidRPr="009213B8" w14:paraId="58DBCCEC" w14:textId="77777777" w:rsidTr="00E152CD">
        <w:tc>
          <w:tcPr>
            <w:tcW w:w="846" w:type="dxa"/>
          </w:tcPr>
          <w:p w14:paraId="0030FD98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727D6B69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</w:pPr>
            <w:r w:rsidRPr="009213B8">
              <w:t>Cijena obavezne minimalne javne usluge</w:t>
            </w:r>
          </w:p>
        </w:tc>
        <w:tc>
          <w:tcPr>
            <w:tcW w:w="1129" w:type="dxa"/>
          </w:tcPr>
          <w:p w14:paraId="508E8804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60,00</w:t>
            </w:r>
          </w:p>
        </w:tc>
        <w:tc>
          <w:tcPr>
            <w:tcW w:w="997" w:type="dxa"/>
          </w:tcPr>
          <w:p w14:paraId="0704E6D6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7,80</w:t>
            </w:r>
          </w:p>
        </w:tc>
        <w:tc>
          <w:tcPr>
            <w:tcW w:w="1275" w:type="dxa"/>
          </w:tcPr>
          <w:p w14:paraId="62184A00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67,80</w:t>
            </w:r>
          </w:p>
        </w:tc>
      </w:tr>
      <w:tr w:rsidR="004B5391" w:rsidRPr="009213B8" w14:paraId="1BE81FC3" w14:textId="77777777" w:rsidTr="00E152CD">
        <w:tc>
          <w:tcPr>
            <w:tcW w:w="846" w:type="dxa"/>
          </w:tcPr>
          <w:p w14:paraId="03515B4C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632812C0" w14:textId="77777777" w:rsidR="004B5391" w:rsidRPr="009213B8" w:rsidRDefault="004B5391" w:rsidP="00975B7B">
            <w:pPr>
              <w:pStyle w:val="box468252"/>
              <w:shd w:val="clear" w:color="auto" w:fill="FFFFFF"/>
              <w:suppressAutoHyphens/>
              <w:spacing w:before="0" w:beforeAutospacing="0" w:after="0" w:afterAutospacing="0"/>
              <w:textAlignment w:val="baseline"/>
            </w:pPr>
            <w:r w:rsidRPr="009213B8">
              <w:t>Cijena za 120 litara predanog miješanog</w:t>
            </w:r>
          </w:p>
          <w:p w14:paraId="13644D09" w14:textId="77777777" w:rsidR="004B5391" w:rsidRPr="009213B8" w:rsidRDefault="004B5391" w:rsidP="00975B7B">
            <w:pPr>
              <w:pStyle w:val="box468252"/>
              <w:shd w:val="clear" w:color="auto" w:fill="FFFFFF"/>
              <w:suppressAutoHyphens/>
              <w:spacing w:before="0" w:beforeAutospacing="0" w:after="0" w:afterAutospacing="0"/>
              <w:textAlignment w:val="baseline"/>
            </w:pPr>
            <w:r w:rsidRPr="009213B8">
              <w:t>komunalnog otpada (MKO) - jedna predaja</w:t>
            </w:r>
          </w:p>
        </w:tc>
        <w:tc>
          <w:tcPr>
            <w:tcW w:w="1129" w:type="dxa"/>
          </w:tcPr>
          <w:p w14:paraId="09EC115D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7,00</w:t>
            </w:r>
          </w:p>
        </w:tc>
        <w:tc>
          <w:tcPr>
            <w:tcW w:w="997" w:type="dxa"/>
          </w:tcPr>
          <w:p w14:paraId="4062CE03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0,91</w:t>
            </w:r>
          </w:p>
        </w:tc>
        <w:tc>
          <w:tcPr>
            <w:tcW w:w="1275" w:type="dxa"/>
          </w:tcPr>
          <w:p w14:paraId="29862FE5" w14:textId="77777777" w:rsidR="004B5391" w:rsidRPr="009213B8" w:rsidRDefault="004B5391" w:rsidP="00975B7B">
            <w:pPr>
              <w:pStyle w:val="box468252"/>
              <w:suppressAutoHyphens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9213B8">
              <w:rPr>
                <w:color w:val="231F20"/>
              </w:rPr>
              <w:t>7,91</w:t>
            </w:r>
          </w:p>
        </w:tc>
      </w:tr>
    </w:tbl>
    <w:p w14:paraId="74586FAC" w14:textId="0FBE0C3D" w:rsidR="000C40DC" w:rsidRPr="000C40DC" w:rsidRDefault="009303F4" w:rsidP="000C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40DC">
        <w:rPr>
          <w:rFonts w:ascii="Times New Roman" w:hAnsi="Times New Roman" w:cs="Times New Roman"/>
          <w:sz w:val="24"/>
          <w:szCs w:val="24"/>
          <w:lang w:val="hr-HR"/>
        </w:rPr>
        <w:t xml:space="preserve">Korisnik kategorije koji nije kućanstvo ima mogućnost ugovaranja većeg volumena i većeg broja spremnika, izvan okvira javne usluge, prema </w:t>
      </w:r>
      <w:r w:rsidR="00203147">
        <w:rPr>
          <w:rFonts w:ascii="Times New Roman" w:hAnsi="Times New Roman" w:cs="Times New Roman"/>
          <w:sz w:val="24"/>
          <w:szCs w:val="24"/>
          <w:lang w:val="hr-HR"/>
        </w:rPr>
        <w:t>tržišnim</w:t>
      </w:r>
      <w:r w:rsidRPr="000C40DC">
        <w:rPr>
          <w:rFonts w:ascii="Times New Roman" w:hAnsi="Times New Roman" w:cs="Times New Roman"/>
          <w:sz w:val="24"/>
          <w:szCs w:val="24"/>
          <w:lang w:val="hr-HR"/>
        </w:rPr>
        <w:t xml:space="preserve"> cijenama iz cjenika davatelja usluge (predmet je posebnog ugovaranja).</w:t>
      </w:r>
    </w:p>
    <w:p w14:paraId="2D1D5108" w14:textId="77777777" w:rsidR="000C40DC" w:rsidRPr="000C40DC" w:rsidRDefault="000C40DC" w:rsidP="000C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963C01" w14:textId="08E62AAC" w:rsidR="000C40DC" w:rsidRPr="000C40DC" w:rsidRDefault="000C40DC" w:rsidP="000C40DC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40DC">
        <w:rPr>
          <w:rFonts w:ascii="Times New Roman" w:hAnsi="Times New Roman" w:cs="Times New Roman"/>
          <w:sz w:val="24"/>
          <w:szCs w:val="24"/>
          <w:lang w:val="hr-HR"/>
        </w:rPr>
        <w:t xml:space="preserve">Kriteriji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0C40DC">
        <w:rPr>
          <w:rFonts w:ascii="Times New Roman" w:hAnsi="Times New Roman" w:cs="Times New Roman"/>
          <w:sz w:val="24"/>
          <w:szCs w:val="24"/>
          <w:lang w:val="hr-HR"/>
        </w:rPr>
        <w:t>a umanjenje</w:t>
      </w:r>
      <w:r w:rsidR="000B31D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8BA70C1" w14:textId="154045A1" w:rsidR="000C40DC" w:rsidRPr="000C40DC" w:rsidRDefault="000C40DC" w:rsidP="000C40DC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40DC">
        <w:rPr>
          <w:rFonts w:ascii="Times New Roman" w:hAnsi="Times New Roman" w:cs="Times New Roman"/>
          <w:sz w:val="24"/>
          <w:szCs w:val="24"/>
          <w:lang w:val="hr-HR"/>
        </w:rPr>
        <w:t xml:space="preserve">Pravo na umanjenje cijene obavezne minimalne javne usluge, temeljem članka 73. Zakona o gospodarenju otpadom (NN 84/21) i članka 23. Odluke o načinu pružanja javne usluge sakupljanja komunalnog otpada na području Općine Promina ostvaruju korisnici kategorije kućanstvo koji </w:t>
      </w:r>
      <w:proofErr w:type="spellStart"/>
      <w:r w:rsidRPr="000C40DC">
        <w:rPr>
          <w:rFonts w:ascii="Times New Roman" w:hAnsi="Times New Roman" w:cs="Times New Roman"/>
          <w:sz w:val="24"/>
          <w:szCs w:val="24"/>
          <w:lang w:val="hr-HR"/>
        </w:rPr>
        <w:t>kompostiraju</w:t>
      </w:r>
      <w:proofErr w:type="spellEnd"/>
      <w:r w:rsidRPr="000C40DC">
        <w:rPr>
          <w:rFonts w:ascii="Times New Roman" w:hAnsi="Times New Roman" w:cs="Times New Roman"/>
          <w:sz w:val="24"/>
          <w:szCs w:val="24"/>
          <w:lang w:val="hr-HR"/>
        </w:rPr>
        <w:t xml:space="preserve"> biootpad. Cijena minimalne javne usluge umanjit će se na mjesečnom računu za 5,00 kn.</w:t>
      </w:r>
    </w:p>
    <w:p w14:paraId="5DBBE0B1" w14:textId="0BA7D0C7" w:rsidR="000C40DC" w:rsidRPr="000C40DC" w:rsidRDefault="000C40DC" w:rsidP="000C40DC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011A0A" w14:textId="58916C01" w:rsidR="000C40DC" w:rsidRPr="000C40DC" w:rsidRDefault="000C40DC" w:rsidP="000C40DC">
      <w:pPr>
        <w:suppressAutoHyphens/>
        <w:spacing w:after="0" w:line="360" w:lineRule="auto"/>
        <w:ind w:right="5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40DC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6A985F1D" w14:textId="4F957DAF" w:rsidR="00975B7B" w:rsidRDefault="00975B7B" w:rsidP="00975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Ovaj Zaključak </w:t>
      </w:r>
      <w:r>
        <w:rPr>
          <w:rFonts w:ascii="Times New Roman" w:hAnsi="Times New Roman" w:cs="Times New Roman"/>
          <w:sz w:val="24"/>
          <w:szCs w:val="24"/>
          <w:lang w:val="hr-HR"/>
        </w:rPr>
        <w:t>stupa na snagu osmog dana od dana objave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>Službenom glasilu Općine Promina.</w:t>
      </w:r>
    </w:p>
    <w:p w14:paraId="35038A80" w14:textId="63E527DD" w:rsidR="00975B7B" w:rsidRDefault="00975B7B" w:rsidP="00975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37418B" w14:textId="77777777" w:rsidR="00975B7B" w:rsidRDefault="00975B7B" w:rsidP="00975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5CA481" w14:textId="0DFBB1B0" w:rsidR="0074540E" w:rsidRPr="000C40DC" w:rsidRDefault="0074540E" w:rsidP="004B53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C40DC"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</w:p>
    <w:p w14:paraId="0BDC5BEC" w14:textId="27076B6D" w:rsidR="0074540E" w:rsidRPr="000C40DC" w:rsidRDefault="0074540E" w:rsidP="004B53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C40DC">
        <w:rPr>
          <w:rFonts w:ascii="Times New Roman" w:hAnsi="Times New Roman" w:cs="Times New Roman"/>
          <w:sz w:val="24"/>
          <w:szCs w:val="24"/>
          <w:lang w:val="hr-HR"/>
        </w:rPr>
        <w:t>Tihomir Budanko</w:t>
      </w:r>
    </w:p>
    <w:sectPr w:rsidR="0074540E" w:rsidRPr="000C40DC" w:rsidSect="0097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53F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65437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3"/>
    <w:rsid w:val="000B31DC"/>
    <w:rsid w:val="000C40DC"/>
    <w:rsid w:val="00173212"/>
    <w:rsid w:val="001F409E"/>
    <w:rsid w:val="00203147"/>
    <w:rsid w:val="00214AF9"/>
    <w:rsid w:val="003F4C7F"/>
    <w:rsid w:val="004A452C"/>
    <w:rsid w:val="004B5391"/>
    <w:rsid w:val="005063F7"/>
    <w:rsid w:val="00564CC9"/>
    <w:rsid w:val="0074540E"/>
    <w:rsid w:val="00746A3C"/>
    <w:rsid w:val="00786C55"/>
    <w:rsid w:val="00802E42"/>
    <w:rsid w:val="00843FDB"/>
    <w:rsid w:val="008B049B"/>
    <w:rsid w:val="009213B8"/>
    <w:rsid w:val="009303F4"/>
    <w:rsid w:val="00975B7B"/>
    <w:rsid w:val="00991160"/>
    <w:rsid w:val="00A74E08"/>
    <w:rsid w:val="00BA3BD3"/>
    <w:rsid w:val="00BF398C"/>
    <w:rsid w:val="00C552EE"/>
    <w:rsid w:val="00CB37FD"/>
    <w:rsid w:val="00CD2A47"/>
    <w:rsid w:val="00E85876"/>
    <w:rsid w:val="00F11517"/>
    <w:rsid w:val="00F64695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9CF"/>
  <w15:chartTrackingRefBased/>
  <w15:docId w15:val="{74FEB55A-E9CD-495B-96CF-DF54973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539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539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B539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B539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B539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539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539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539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539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252">
    <w:name w:val="box_468252"/>
    <w:basedOn w:val="Normal"/>
    <w:rsid w:val="008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53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B53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B53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B5391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B5391"/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B5391"/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B5391"/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B53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B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Bezproreda">
    <w:name w:val="No Spacing"/>
    <w:uiPriority w:val="1"/>
    <w:qFormat/>
    <w:rsid w:val="00975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Čupić</dc:creator>
  <cp:keywords/>
  <dc:description/>
  <cp:lastModifiedBy>Ante Cupic</cp:lastModifiedBy>
  <cp:revision>2</cp:revision>
  <cp:lastPrinted>2022-04-21T12:46:00Z</cp:lastPrinted>
  <dcterms:created xsi:type="dcterms:W3CDTF">2022-04-21T12:46:00Z</dcterms:created>
  <dcterms:modified xsi:type="dcterms:W3CDTF">2022-04-21T12:46:00Z</dcterms:modified>
</cp:coreProperties>
</file>