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F614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</w:p>
    <w:p w14:paraId="4F483E4C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 xml:space="preserve">034-01/23-01/173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218ACC11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Cs w:val="24"/>
          <w:lang w:eastAsia="en-US"/>
        </w:rPr>
        <w:t xml:space="preserve">2182-9-2-23-1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</w:t>
      </w:r>
    </w:p>
    <w:p w14:paraId="64C37593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 </w:t>
      </w:r>
      <w:r>
        <w:rPr/>
        <w:drawing>
          <wp:inline>
            <wp:extent cx="933580" cy="933580"/>
            <wp:docPr id="1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lang w:eastAsia="en-US"/>
        </w:rPr>
        <w:t xml:space="preserve">  </w:t>
      </w:r>
    </w:p>
    <w:p w14:paraId="0BF88ACA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Oklaj, 18. prosinca 2023. godine</w:t>
      </w:r>
    </w:p>
    <w:p w14:paraId="64ECEF94">
      <w:pPr>
        <w:spacing w:after="0" w:line="360" w:lineRule="auto"/>
        <w:rPr>
          <w:rFonts w:ascii="Times New Roman" w:hAnsi="Times New Roman" w:cs="Times New Roman"/>
          <w:bCs/>
        </w:rPr>
      </w:pPr>
    </w:p>
    <w:p w14:paraId="7354FCB8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temelju članaka 48. i 49. Odluke o upravljanju grobljima („Službeni vjesnik Šibensko-kninske županije“ broj 4/2012) društvo EKO Promina d.o.o. (u daljnjem tekstu: Uprava groblja) objavljuje</w:t>
      </w:r>
    </w:p>
    <w:p w14:paraId="1E702112">
      <w:pPr>
        <w:spacing w:after="0" w:line="360" w:lineRule="auto"/>
        <w:rPr>
          <w:rFonts w:ascii="Times New Roman" w:hAnsi="Times New Roman" w:cs="Times New Roman"/>
          <w:bCs/>
        </w:rPr>
      </w:pPr>
    </w:p>
    <w:p w14:paraId="4EB17D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OGLAS</w:t>
      </w:r>
    </w:p>
    <w:p w14:paraId="0A2FB41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dodjelu grobnog mjesta na korištenje prije nastale potrebe za ukopom</w:t>
      </w:r>
    </w:p>
    <w:p w14:paraId="631C801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76AD2DD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Dodjeljuje se grobno mjesto na korištenje na groblju </w:t>
      </w:r>
      <w:r>
        <w:rPr>
          <w:rFonts w:ascii="Times New Roman" w:hAnsi="Times New Roman"/>
          <w:bCs/>
        </w:rPr>
        <w:t xml:space="preserve">Lukaru</w:t>
      </w:r>
      <w:r>
        <w:rPr>
          <w:rFonts w:ascii="Times New Roman" w:hAnsi="Times New Roman"/>
          <w:bCs/>
        </w:rPr>
        <w:t xml:space="preserve"> sljedeće oznake:</w:t>
      </w:r>
    </w:p>
    <w:p w14:paraId="38284054">
      <w:pPr>
        <w:pStyle w:val="Odlomakpopisa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polje I broj </w:t>
      </w:r>
      <w:r>
        <w:rPr>
          <w:rFonts w:ascii="Times New Roman" w:hAnsi="Times New Roman"/>
          <w:bCs/>
        </w:rPr>
        <w:t xml:space="preserve">53</w:t>
      </w:r>
    </w:p>
    <w:p w14:paraId="7B389A66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Vrsta grobnog mjesta koje se dodjeljuje na korištenje:</w:t>
      </w:r>
    </w:p>
    <w:p w14:paraId="45882A9F">
      <w:pPr>
        <w:pStyle w:val="Odlomakpopisa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Dvostruka grobnica za </w:t>
      </w:r>
      <w:r>
        <w:rPr>
          <w:rFonts w:ascii="Times New Roman" w:hAnsi="Times New Roman"/>
          <w:bCs/>
        </w:rPr>
        <w:t xml:space="preserve">4 </w:t>
      </w:r>
      <w:r>
        <w:rPr>
          <w:rFonts w:ascii="Times New Roman" w:hAnsi="Times New Roman"/>
          <w:bCs/>
        </w:rPr>
        <w:t xml:space="preserve">lijes</w:t>
      </w:r>
      <w:r>
        <w:rPr>
          <w:rFonts w:ascii="Times New Roman" w:hAnsi="Times New Roman"/>
          <w:bCs/>
        </w:rPr>
        <w:t xml:space="preserve">a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 xml:space="preserve">brutto</w:t>
      </w:r>
      <w:r>
        <w:rPr>
          <w:rFonts w:ascii="Times New Roman" w:hAnsi="Times New Roman"/>
          <w:bCs/>
        </w:rPr>
        <w:t xml:space="preserve"> dimenzije 120-150 x 250-300)</w:t>
      </w:r>
    </w:p>
    <w:p w14:paraId="13D80170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Visina naknade za dodjelu grobnog mjesta na korištenje iznosi </w:t>
      </w:r>
      <w:r>
        <w:rPr>
          <w:rFonts w:ascii="Times New Roman" w:hAnsi="Times New Roman"/>
          <w:bCs/>
        </w:rPr>
        <w:t xml:space="preserve">456,9</w:t>
      </w:r>
      <w:r>
        <w:rPr>
          <w:rFonts w:ascii="Times New Roman" w:hAnsi="Times New Roman"/>
          <w:bCs/>
        </w:rPr>
        <w:t xml:space="preserve">2</w:t>
      </w:r>
      <w:r>
        <w:rPr>
          <w:rFonts w:ascii="Times New Roman" w:hAnsi="Times New Roman"/>
          <w:bCs/>
        </w:rPr>
        <w:t xml:space="preserve"> eura s PDV-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om (</w:t>
      </w:r>
      <w:r>
        <w:rPr>
          <w:rFonts w:ascii="Times New Roman" w:hAnsi="Times New Roman"/>
          <w:bCs/>
        </w:rPr>
        <w:t xml:space="preserve">3.442,70 k</w:t>
      </w:r>
      <w:r>
        <w:rPr>
          <w:rFonts w:ascii="Times New Roman" w:hAnsi="Times New Roman"/>
          <w:bCs/>
        </w:rPr>
        <w:t xml:space="preserve">u</w:t>
      </w:r>
      <w:r>
        <w:rPr>
          <w:rFonts w:ascii="Times New Roman" w:hAnsi="Times New Roman"/>
          <w:bCs/>
        </w:rPr>
        <w:t xml:space="preserve">n</w:t>
      </w:r>
      <w:r>
        <w:rPr>
          <w:rFonts w:ascii="Times New Roman" w:hAnsi="Times New Roman"/>
          <w:bCs/>
        </w:rPr>
        <w:t xml:space="preserve">a</w:t>
      </w:r>
      <w:r>
        <w:rPr>
          <w:rFonts w:ascii="Times New Roman" w:hAnsi="Times New Roman"/>
          <w:bCs/>
        </w:rPr>
        <w:t xml:space="preserve"> s PDV-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om</w:t>
      </w:r>
      <w:r>
        <w:rPr>
          <w:rFonts w:ascii="Times New Roman" w:hAnsi="Times New Roman"/>
          <w:bCs/>
        </w:rPr>
        <w:t xml:space="preserve"> – fiksni tečaj konverzije j</w:t>
      </w:r>
      <w:r>
        <w:rPr>
          <w:rFonts w:ascii="Times New Roman" w:hAnsi="Times New Roman"/>
          <w:bCs/>
        </w:rPr>
        <w:t xml:space="preserve">e 1 euro za 7,53450 kuna)</w:t>
      </w:r>
      <w:r>
        <w:rPr>
          <w:rFonts w:ascii="Times New Roman" w:hAnsi="Times New Roman"/>
          <w:bCs/>
        </w:rPr>
        <w:t xml:space="preserve"> a koju korisnik, kojemu se dodjeli grobno mjesto na korištenje, plaća prije nego mu Uprava groblja izda Rješenje o dodjeli grobnog mjesta na korištenje i to na broj računa:</w:t>
      </w:r>
    </w:p>
    <w:p w14:paraId="60BBD9D6">
      <w:pPr>
        <w:pStyle w:val="Odlomakpopisa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IBAN: HR8323900011101240153 otvorenog kod HPB d.d.</w:t>
      </w:r>
    </w:p>
    <w:p w14:paraId="21A0D0C5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Zahtjev za dodjelu grobnog mjesta se podnosi na obrascu koji je dostupan na internetskim stranicama Uprave groblja ili u prostorijama Uprave groblja. Zahtjevu je potrebno priložiti kopiju osobne iskaznice.</w:t>
      </w:r>
    </w:p>
    <w:p w14:paraId="3175C9DE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Zahtjev za dodjelu grobnog mjesta na korištenje, s popratnom dokumentacijom, podnosi se osobno u prostorijama Uprave groblja na adresi Put kroz Oklaj 144 u Oklaju ili preporučeno putem pošte, s tim da se u slučaju podnošenja preporučeno putem pošte, Zahtjev smatra </w:t>
      </w:r>
      <w:r>
        <w:rPr>
          <w:rFonts w:ascii="Times New Roman" w:hAnsi="Times New Roman"/>
          <w:bCs/>
        </w:rPr>
        <w:t xml:space="preserve">podnesenim</w:t>
      </w:r>
      <w:r>
        <w:rPr>
          <w:rFonts w:ascii="Times New Roman" w:hAnsi="Times New Roman"/>
          <w:bCs/>
        </w:rPr>
        <w:t xml:space="preserve"> u trenutku njegovog zaprimanja u prostorijama Uprave groblja.</w:t>
      </w:r>
    </w:p>
    <w:p w14:paraId="0ECE1B40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Zahtjev za dodjelu grobnog mjesta na korištenje se podnosi od dana objave ovog oglasa u javnom glasilu i na oglasnoj ploči Uprave groblja pa zaključno do 2</w:t>
      </w:r>
      <w:r>
        <w:rPr>
          <w:rFonts w:ascii="Times New Roman" w:hAnsi="Times New Roman"/>
          <w:bCs/>
        </w:rPr>
        <w:t xml:space="preserve">8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prosinca</w:t>
      </w:r>
      <w:r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 xml:space="preserve">3</w:t>
      </w:r>
      <w:r>
        <w:rPr>
          <w:rFonts w:ascii="Times New Roman" w:hAnsi="Times New Roman"/>
          <w:bCs/>
        </w:rPr>
        <w:t xml:space="preserve">. godine.</w:t>
      </w:r>
    </w:p>
    <w:p w14:paraId="13F81250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Kriterij odabira korisnika kojemu će se </w:t>
      </w:r>
      <w:r>
        <w:rPr>
          <w:rFonts w:ascii="Times New Roman" w:hAnsi="Times New Roman"/>
          <w:bCs/>
        </w:rPr>
        <w:t xml:space="preserve">dodijeliti</w:t>
      </w:r>
      <w:r>
        <w:rPr>
          <w:rFonts w:ascii="Times New Roman" w:hAnsi="Times New Roman"/>
          <w:bCs/>
        </w:rPr>
        <w:t xml:space="preserve"> grobno mjesto na korištenje je prvenstvo dostave u prostorije Uprave groblja, te ne postojanje duga po bilo kojoj osnovi prema Upravi groblja.</w:t>
      </w:r>
    </w:p>
    <w:p w14:paraId="33EA0829">
      <w:pPr>
        <w:pStyle w:val="Odlomakpopisa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Ovaj oglas se objavljuje u javnom glasilu i na oglasnoj ploči Uprave groblja.</w:t>
      </w:r>
    </w:p>
    <w:p w14:paraId="3447DC0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D07E76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Direktorica:</w:t>
      </w:r>
    </w:p>
    <w:p w14:paraId="479878B0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sc. Barbara Nakić-Alfirević, di</w:t>
      </w:r>
      <w:r>
        <w:rPr>
          <w:rFonts w:ascii="Times New Roman" w:hAnsi="Times New Roman" w:cs="Times New Roman"/>
        </w:rPr>
        <w:t xml:space="preserve">pl. ing.</w:t>
      </w: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       </w:t>
      </w: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1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0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8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>
    <w:pPr>
      <w:pStyle w:val="Podnoje"/>
      <w:spacing/>
      <w:jc w:val="center"/>
      <w:rPr>
        <w:rFonts w:ascii="Candara" w:hAnsi="Candara"/>
        <w:sz w:val="12"/>
        <w:szCs w:val="12"/>
      </w:rPr>
    </w:pPr>
  </w:p>
  <w:p w14:paraId="060CAFF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 xml:space="preserve">društvo s ograničenom odgovornošću za obavljanje komunalnih djelatnosti</w:t>
    </w:r>
    <w:r>
      <w:rPr>
        <w:rFonts w:ascii="Times New Roman" w:hAnsi="Times New Roman"/>
        <w:sz w:val="12"/>
        <w:szCs w:val="12"/>
      </w:rPr>
      <w:t xml:space="preserve">, Put kroz Oklaj 144, Oklaj</w:t>
    </w:r>
  </w:p>
  <w:p w14:paraId="47CA612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</w:t>
    </w:r>
    <w:r>
      <w:rPr>
        <w:rFonts w:ascii="Times New Roman" w:hAnsi="Times New Roman"/>
        <w:sz w:val="12"/>
        <w:szCs w:val="12"/>
      </w:rPr>
      <w:t xml:space="preserve"> u</w:t>
    </w:r>
    <w:r>
      <w:rPr>
        <w:rFonts w:ascii="Times New Roman" w:hAnsi="Times New Roman"/>
        <w:sz w:val="12"/>
        <w:szCs w:val="12"/>
      </w:rPr>
      <w:t xml:space="preserve">:</w:t>
    </w:r>
  </w:p>
  <w:p w14:paraId="4DA1BB0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</w:t>
    </w:r>
    <w:r>
      <w:rPr>
        <w:rFonts w:ascii="Times New Roman" w:hAnsi="Times New Roman"/>
        <w:sz w:val="12"/>
        <w:szCs w:val="12"/>
      </w:rPr>
      <w:t xml:space="preserve">8323900011101240153</w:t>
    </w:r>
  </w:p>
  <w:p w14:paraId="486F68AB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u sudski registar </w:t>
    </w:r>
    <w:r>
      <w:rPr>
        <w:rFonts w:ascii="Times New Roman" w:hAnsi="Times New Roman"/>
        <w:sz w:val="12"/>
        <w:szCs w:val="12"/>
      </w:rPr>
      <w:t xml:space="preserve">Trgovačkog suda u Zadru</w:t>
    </w:r>
    <w:r>
      <w:rPr>
        <w:rFonts w:ascii="Times New Roman" w:hAnsi="Times New Roman"/>
        <w:sz w:val="12"/>
        <w:szCs w:val="12"/>
      </w:rPr>
      <w:t xml:space="preserve">, Stalne službe u Šibeniku</w:t>
    </w:r>
    <w:r>
      <w:rPr>
        <w:rFonts w:ascii="Times New Roman" w:hAnsi="Times New Roman"/>
        <w:sz w:val="12"/>
        <w:szCs w:val="12"/>
      </w:rPr>
      <w:t xml:space="preserve">, MBS 100016114</w:t>
    </w:r>
  </w:p>
  <w:p w14:paraId="541278F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0AFFD36E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</w:t>
    </w:r>
    <w:r>
      <w:rPr>
        <w:rFonts w:ascii="Times New Roman" w:hAnsi="Times New Roman"/>
        <w:sz w:val="12"/>
        <w:szCs w:val="12"/>
      </w:rPr>
      <w:t xml:space="preserve">prav</w:t>
    </w:r>
    <w:r>
      <w:rPr>
        <w:rFonts w:ascii="Times New Roman" w:hAnsi="Times New Roman"/>
        <w:sz w:val="12"/>
        <w:szCs w:val="12"/>
      </w:rPr>
      <w:t xml:space="preserve">a društva</w:t>
    </w:r>
    <w:r>
      <w:rPr>
        <w:rFonts w:ascii="Times New Roman" w:hAnsi="Times New Roman"/>
        <w:sz w:val="12"/>
        <w:szCs w:val="12"/>
      </w:rPr>
      <w:t xml:space="preserve">-Direkt</w:t>
    </w:r>
    <w:r>
      <w:rPr>
        <w:rFonts w:ascii="Times New Roman" w:hAnsi="Times New Roman"/>
        <w:sz w:val="12"/>
        <w:szCs w:val="12"/>
      </w:rPr>
      <w:t xml:space="preserve">oric</w:t>
    </w:r>
    <w:r>
      <w:rPr>
        <w:rFonts w:ascii="Times New Roman" w:hAnsi="Times New Roman"/>
        <w:sz w:val="12"/>
        <w:szCs w:val="12"/>
      </w:rPr>
      <w:t xml:space="preserve">a</w:t>
    </w:r>
    <w:r>
      <w:rPr>
        <w:rFonts w:ascii="Times New Roman" w:hAnsi="Times New Roman"/>
        <w:sz w:val="12"/>
        <w:szCs w:val="12"/>
      </w:rPr>
      <w:t xml:space="preserve">: Barbara Nakić-Alfirević</w:t>
    </w:r>
  </w:p>
  <w:p w14:paraId="6454372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4019550" cy="180975"/>
          <wp:effectExtent xmlns:wp="http://schemas.openxmlformats.org/drawingml/2006/wordprocessingDrawing" l="0" t="0" r="0" b="0"/>
          <wp:docPr id="2" name="Slika 166331086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A253">
    <w:pPr>
      <w:pStyle w:val="Podnoje"/>
      <w:spacing/>
      <w:jc w:val="center"/>
      <w:rPr>
        <w:rStyle w:val="Hiperveza"/>
        <w:rFonts w:ascii="Times New Roman" w:hAnsi="Times New Roman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2"/>
        <w:szCs w:val="12"/>
      </w:rPr>
      <w:t xml:space="preserve">Think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>
        <w:rStyle w:val="Hiperveza"/>
        <w:rFonts w:ascii="Times New Roman" w:hAnsi="Times New Roman"/>
        <w:sz w:val="12"/>
        <w:szCs w:val="12"/>
      </w:rPr>
      <w:t xml:space="preserve"> - </w:t>
    </w:r>
    <w:r>
      <w:rPr>
        <w:rStyle w:val="Hiperveza"/>
        <w:rFonts w:ascii="Times New Roman" w:hAnsi="Times New Roman"/>
        <w:sz w:val="12"/>
        <w:szCs w:val="12"/>
      </w:rPr>
      <w:t xml:space="preserve">Please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consider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the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environment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/>
      <w:fldChar w:fldCharType="end"/>
    </w:r>
  </w:p>
  <w:p w14:paraId="124C7E42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881449" cy="304800"/>
          <wp:effectExtent xmlns:wp="http://schemas.openxmlformats.org/drawingml/2006/wordprocessingDrawing" l="0" t="0" r="0" b="0"/>
          <wp:docPr id="3" name="Slika 588409996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44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5E608">
    <w:pPr>
      <w:spacing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SVAKI CENT SE BROJI, SVAKA KUNA SE RAČUNA</w:t>
    </w:r>
  </w:p>
  <w:p w14:paraId="7911185B">
    <w:pPr>
      <w:pStyle w:val="Podnoje"/>
      <w:spacing/>
      <w:jc w:val="center"/>
      <w:rPr>
        <w:rFonts w:ascii="Candara" w:hAnsi="Candara"/>
        <w:sz w:val="8"/>
        <w:szCs w:val="8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4" name="Slika 159727850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B25075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6DD352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941584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2C76772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8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3FEC0BD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21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9FE59C4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SimSun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4D4174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7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8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66951D7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33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paragraph" w:styleId="t-9-8-bez-uvl" w:customStyle="1">
    <w:name w:val="t-9-8-bez-uvl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lomakpopisaChar" w:customStyle="1">
    <w:name w:val="Odlomak popisa Char"/>
    <w:basedOn w:val="Zadanifontodlomka"/>
    <w:link w:val="ListParagraph"/>
    <w:uiPriority w:val="34"/>
    <w:qFormat/>
    <w:rPr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TekstfusnoteChar" w:customStyle="1">
    <w:name w:val="Tekst fusnote Char"/>
    <w:basedOn w:val="Zadanifontodlomka"/>
    <w:link w:val="FootnoteText"/>
    <w:uiPriority w:val="99"/>
    <w:semiHidden/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2" Type="http://schemas.openxmlformats.org/officeDocument/2006/relationships/fontTable" Target="fontTable.xml" /><Relationship Id="rId1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Relationship Id="rId6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9</TotalTime>
  <Pages>1</Pages>
  <Words>361</Words>
  <Characters>2062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2023-03-23T10:11:00Z</cp:lastPrinted>
  <cp:revision>14</cp:revision>
  <dcterms:created xsi:type="dcterms:W3CDTF">2023-12-15T11:01:00Z</dcterms:created>
  <dcterms:modified xsi:type="dcterms:W3CDTF">2023-12-17T15:08:00Z</dcterms:modified>
</cp:coreProperties>
</file>